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E921C" w14:textId="77777777" w:rsidR="00092A7E" w:rsidRDefault="00092A7E" w:rsidP="00092A7E">
      <w:pPr>
        <w:pStyle w:val="Heading1"/>
      </w:pPr>
      <w:bookmarkStart w:id="0" w:name="_Toc218514455"/>
      <w:r>
        <w:t>3. APIs and System Integration</w:t>
      </w:r>
      <w:bookmarkEnd w:id="0"/>
    </w:p>
    <w:p w14:paraId="0D582599" w14:textId="77777777" w:rsidR="00092A7E" w:rsidRDefault="00092A7E" w:rsidP="00092A7E">
      <w:pPr>
        <w:pStyle w:val="Heading2"/>
      </w:pPr>
      <w:bookmarkStart w:id="1" w:name="_Toc218514456"/>
      <w:bookmarkStart w:id="2" w:name="introduction-2"/>
      <w:r>
        <w:t>3.1 Introduction</w:t>
      </w:r>
      <w:bookmarkEnd w:id="1"/>
    </w:p>
    <w:p w14:paraId="09A727F1" w14:textId="77777777" w:rsidR="00092A7E" w:rsidRDefault="00092A7E" w:rsidP="00092A7E">
      <w:pPr>
        <w:pStyle w:val="FirstParagraph"/>
      </w:pPr>
      <w:r>
        <w:rPr>
          <w:noProof/>
        </w:rPr>
        <w:drawing>
          <wp:inline distT="0" distB="0" distL="0" distR="0" wp14:anchorId="15A5211D" wp14:editId="7AF40AF5">
            <wp:extent cx="2534432" cy="2534432"/>
            <wp:effectExtent l="0" t="0" r="0" b="0"/>
            <wp:docPr id="108" name="Picture" descr="Cartoon of a circle with a phone a calendar and a runner&#10;"/>
            <wp:cNvGraphicFramePr/>
            <a:graphic xmlns:a="http://schemas.openxmlformats.org/drawingml/2006/main">
              <a:graphicData uri="http://schemas.openxmlformats.org/drawingml/2006/picture">
                <pic:pic xmlns:pic="http://schemas.openxmlformats.org/drawingml/2006/picture">
                  <pic:nvPicPr>
                    <pic:cNvPr id="108" name="Picture" descr="Cartoon of a circle with a phone a calendar and a runner&#10;"/>
                    <pic:cNvPicPr>
                      <a:picLocks noChangeAspect="1" noChangeArrowheads="1"/>
                    </pic:cNvPicPr>
                  </pic:nvPicPr>
                  <pic:blipFill>
                    <a:blip r:embed="rId4"/>
                    <a:stretch>
                      <a:fillRect/>
                    </a:stretch>
                  </pic:blipFill>
                  <pic:spPr bwMode="auto">
                    <a:xfrm>
                      <a:off x="0" y="0"/>
                      <a:ext cx="2534432" cy="2534432"/>
                    </a:xfrm>
                    <a:prstGeom prst="rect">
                      <a:avLst/>
                    </a:prstGeom>
                    <a:noFill/>
                    <a:ln w="9525">
                      <a:noFill/>
                      <a:headEnd/>
                      <a:tailEnd/>
                    </a:ln>
                  </pic:spPr>
                </pic:pic>
              </a:graphicData>
            </a:graphic>
          </wp:inline>
        </w:drawing>
      </w:r>
    </w:p>
    <w:p w14:paraId="6CB3F55B" w14:textId="77777777" w:rsidR="00092A7E" w:rsidRDefault="00092A7E" w:rsidP="00092A7E">
      <w:pPr>
        <w:pStyle w:val="BodyText"/>
      </w:pPr>
      <w:r>
        <w:t>Imagine your smartphone automatically updating your calendar when you book a flight, your fitness tracker syncing with your health app, and your music streaming service knowing your preferences across all devices. This seamless connectivity doesn’t happen by magic – it’s powered by APIs (Application Programming Interfaces), the invisible bridges that allow different software systems to communicate and share data.</w:t>
      </w:r>
    </w:p>
    <w:p w14:paraId="4ED895B9" w14:textId="77777777" w:rsidR="00092A7E" w:rsidRDefault="00092A7E" w:rsidP="00092A7E">
      <w:pPr>
        <w:pStyle w:val="BodyText"/>
      </w:pPr>
      <w:r>
        <w:t>In the business world, APIs serve as the digital nervous system that connects everything from customer relationship management (CRM) systems to financial dashboards, inventory management to customer support platforms. They enable the automated workflows that modern businesses depend on, allowing data to flow seamlessly between systems without human intervention.</w:t>
      </w:r>
    </w:p>
    <w:p w14:paraId="65F4C92D" w14:textId="77777777" w:rsidR="00092A7E" w:rsidRDefault="00092A7E" w:rsidP="00092A7E">
      <w:pPr>
        <w:pStyle w:val="BodyText"/>
      </w:pPr>
      <w:r>
        <w:t>Consider a simple online purchase: when you buy something, APIs automatically update inventory levels, process payment, generate shipping labels, send confirmation emails, and update customer records across multiple systems – all in seconds. This level of integration has transformed how businesses operate, enabling real-time decision-making and automated responses that would be impossible with manual processes.</w:t>
      </w:r>
    </w:p>
    <w:p w14:paraId="7AD69D8F" w14:textId="77777777" w:rsidR="00092A7E" w:rsidRDefault="00092A7E" w:rsidP="00092A7E">
      <w:pPr>
        <w:pStyle w:val="BodyText"/>
      </w:pPr>
      <w:r>
        <w:t>The rise of AI assistants has made API integration even more powerful. These intelligent systems can now access data from multiple business systems, analyze patterns, and trigger automated actions across your entire technology stack. A customer service AI might pull information from your CRM, check inventory levels, process a refund, and update support tickets – all through API connections.</w:t>
      </w:r>
    </w:p>
    <w:p w14:paraId="16676B77" w14:textId="77777777" w:rsidR="00092A7E" w:rsidRDefault="00092A7E" w:rsidP="00092A7E">
      <w:pPr>
        <w:pStyle w:val="BodyText"/>
      </w:pPr>
      <w:r>
        <w:t>This chapter will demystify APIs and system integration, showing you how these technologies enable the automated, data-driven businesses of today. We’ll explore practical examples from CRM updates to financial dashboards and learn how AI assistants leverage APIs to create truly intelligent automation workflows.</w:t>
      </w:r>
    </w:p>
    <w:p w14:paraId="18927918" w14:textId="77777777" w:rsidR="00092A7E" w:rsidRDefault="00092A7E" w:rsidP="00092A7E">
      <w:pPr>
        <w:pStyle w:val="Heading2"/>
      </w:pPr>
      <w:bookmarkStart w:id="3" w:name="_Toc218514457"/>
      <w:bookmarkStart w:id="4" w:name="apis-and-their-role-in-automation"/>
      <w:bookmarkEnd w:id="2"/>
      <w:r>
        <w:t>3.2 APIs and Their Role in Automation</w:t>
      </w:r>
      <w:bookmarkEnd w:id="3"/>
    </w:p>
    <w:p w14:paraId="463C3E6C" w14:textId="77777777" w:rsidR="00092A7E" w:rsidRDefault="00092A7E" w:rsidP="00092A7E">
      <w:pPr>
        <w:pStyle w:val="Heading3"/>
      </w:pPr>
      <w:bookmarkStart w:id="5" w:name="_Toc218514458"/>
      <w:bookmarkStart w:id="6" w:name="what-is-an-api"/>
      <w:r>
        <w:t>3.2.1 What is an API?</w:t>
      </w:r>
      <w:bookmarkEnd w:id="5"/>
    </w:p>
    <w:p w14:paraId="103391A0" w14:textId="77777777" w:rsidR="00092A7E" w:rsidRDefault="00092A7E" w:rsidP="00092A7E">
      <w:pPr>
        <w:pStyle w:val="FirstParagraph"/>
      </w:pPr>
      <w:r>
        <w:rPr>
          <w:noProof/>
        </w:rPr>
        <w:drawing>
          <wp:inline distT="0" distB="0" distL="0" distR="0" wp14:anchorId="7F554665" wp14:editId="057A9864">
            <wp:extent cx="2667000" cy="2667000"/>
            <wp:effectExtent l="0" t="0" r="0" b="0"/>
            <wp:docPr id="112" name="Picture" descr="A cartoon of a waiter holding a tray &#10;"/>
            <wp:cNvGraphicFramePr/>
            <a:graphic xmlns:a="http://schemas.openxmlformats.org/drawingml/2006/main">
              <a:graphicData uri="http://schemas.openxmlformats.org/drawingml/2006/picture">
                <pic:pic xmlns:pic="http://schemas.openxmlformats.org/drawingml/2006/picture">
                  <pic:nvPicPr>
                    <pic:cNvPr id="112" name="Picture" descr="A cartoon of a waiter holding a tray &#10;"/>
                    <pic:cNvPicPr>
                      <a:picLocks noChangeAspect="1" noChangeArrowheads="1"/>
                    </pic:cNvPicPr>
                  </pic:nvPicPr>
                  <pic:blipFill>
                    <a:blip r:embed="rId5"/>
                    <a:stretch>
                      <a:fillRect/>
                    </a:stretch>
                  </pic:blipFill>
                  <pic:spPr bwMode="auto">
                    <a:xfrm>
                      <a:off x="0" y="0"/>
                      <a:ext cx="2667000" cy="2667000"/>
                    </a:xfrm>
                    <a:prstGeom prst="rect">
                      <a:avLst/>
                    </a:prstGeom>
                    <a:noFill/>
                    <a:ln w="9525">
                      <a:noFill/>
                      <a:headEnd/>
                      <a:tailEnd/>
                    </a:ln>
                  </pic:spPr>
                </pic:pic>
              </a:graphicData>
            </a:graphic>
          </wp:inline>
        </w:drawing>
      </w:r>
    </w:p>
    <w:p w14:paraId="2566592E" w14:textId="77777777" w:rsidR="00092A7E" w:rsidRDefault="00092A7E" w:rsidP="00092A7E">
      <w:pPr>
        <w:pStyle w:val="BodyText"/>
      </w:pPr>
      <w:r>
        <w:t>An API (Application Programming Interface) is essentially a messenger that allows two software applications to talk to each other. Think of it as a waiter in a restaurant: you (one application) tell the waiter (API) what you want from the kitchen (another application), and the waiter brings back exactly what you requested.</w:t>
      </w:r>
    </w:p>
    <w:p w14:paraId="6277FA13" w14:textId="77777777" w:rsidR="00092A7E" w:rsidRDefault="00092A7E" w:rsidP="00092A7E">
      <w:pPr>
        <w:pStyle w:val="BodyText"/>
      </w:pPr>
      <w:r>
        <w:t>In technical terms, an API defines the methods, data formats, and rules that applications use to communicate. But for business purposes, APIs are simply the technology that makes automation possible by allowing different systems to share information and trigger actions automatically.</w:t>
      </w:r>
    </w:p>
    <w:p w14:paraId="2FC185DE" w14:textId="77777777" w:rsidR="00092A7E" w:rsidRDefault="00092A7E" w:rsidP="00092A7E">
      <w:pPr>
        <w:pStyle w:val="Heading3"/>
      </w:pPr>
      <w:bookmarkStart w:id="7" w:name="_Toc218514459"/>
      <w:bookmarkStart w:id="8" w:name="apis-in-everyday-business-operations"/>
      <w:bookmarkEnd w:id="6"/>
      <w:r>
        <w:t>3.2.2 APIs in Everyday Business Operations</w:t>
      </w:r>
      <w:bookmarkEnd w:id="7"/>
    </w:p>
    <w:p w14:paraId="2E395CC2" w14:textId="77777777" w:rsidR="00092A7E" w:rsidRDefault="00092A7E" w:rsidP="00092A7E">
      <w:pPr>
        <w:pStyle w:val="FirstParagraph"/>
      </w:pPr>
      <w:r>
        <w:t>APIs, or Application Programming Interfaces, enable different software systems to communicate and work together seamlessly. Consider the example of online shopping. When you place an order, multiple APIs coordinate the process behind the scenes. The shopping cart API sends payment information to the payment processor API, ensuring secure transactions. Simultaneously, the order API communicates with the inventory system API to update stock levels. Shipping details are transmitted to a logistics API to generate labels, while the order API also triggers the email API to send confirmation messages to the customer. Finally, all transaction data flows to analytics APIs for reporting and insight generation. This entire sequence occurs in seconds without any human intervention, illustrating how APIs streamline business operations and integrate systems efficiently.</w:t>
      </w:r>
    </w:p>
    <w:p w14:paraId="69A84069" w14:textId="77777777" w:rsidR="00092A7E" w:rsidRDefault="00092A7E" w:rsidP="00092A7E">
      <w:pPr>
        <w:pStyle w:val="Heading3"/>
      </w:pPr>
      <w:bookmarkStart w:id="9" w:name="_Toc218514460"/>
      <w:bookmarkStart w:id="10" w:name="the-four-types-of-business-apis-business"/>
      <w:bookmarkEnd w:id="8"/>
      <w:r>
        <w:t>3.2.3 The Four Types of Business APIs Business</w:t>
      </w:r>
      <w:bookmarkEnd w:id="9"/>
    </w:p>
    <w:p w14:paraId="76BBF659" w14:textId="77777777" w:rsidR="00092A7E" w:rsidRDefault="00092A7E" w:rsidP="00092A7E">
      <w:pPr>
        <w:pStyle w:val="FirstParagraph"/>
      </w:pPr>
      <w:r>
        <w:rPr>
          <w:noProof/>
        </w:rPr>
        <w:drawing>
          <wp:inline distT="0" distB="0" distL="0" distR="0" wp14:anchorId="4B34E601" wp14:editId="47689E9D">
            <wp:extent cx="5067300" cy="3167062"/>
            <wp:effectExtent l="0" t="0" r="0" b="0"/>
            <wp:docPr id="117" name="Picture" descr="Four corner diagram of types of business API - integration, data, ai/ml and function - as defined in the text&#10;"/>
            <wp:cNvGraphicFramePr/>
            <a:graphic xmlns:a="http://schemas.openxmlformats.org/drawingml/2006/main">
              <a:graphicData uri="http://schemas.openxmlformats.org/drawingml/2006/picture">
                <pic:pic xmlns:pic="http://schemas.openxmlformats.org/drawingml/2006/picture">
                  <pic:nvPicPr>
                    <pic:cNvPr id="117" name="Picture" descr="Four corner diagram of types of business API - integration, data, ai/ml and function - as defined in the text&#10;"/>
                    <pic:cNvPicPr>
                      <a:picLocks noChangeAspect="1" noChangeArrowheads="1"/>
                    </pic:cNvPicPr>
                  </pic:nvPicPr>
                  <pic:blipFill>
                    <a:blip r:embed="rId6"/>
                    <a:stretch>
                      <a:fillRect/>
                    </a:stretch>
                  </pic:blipFill>
                  <pic:spPr bwMode="auto">
                    <a:xfrm>
                      <a:off x="0" y="0"/>
                      <a:ext cx="5067300" cy="3167062"/>
                    </a:xfrm>
                    <a:prstGeom prst="rect">
                      <a:avLst/>
                    </a:prstGeom>
                    <a:noFill/>
                    <a:ln w="9525">
                      <a:noFill/>
                      <a:headEnd/>
                      <a:tailEnd/>
                    </a:ln>
                  </pic:spPr>
                </pic:pic>
              </a:graphicData>
            </a:graphic>
          </wp:inline>
        </w:drawing>
      </w:r>
    </w:p>
    <w:p w14:paraId="23E6BE5A" w14:textId="77777777" w:rsidR="00092A7E" w:rsidRDefault="00092A7E" w:rsidP="00092A7E">
      <w:pPr>
        <w:pStyle w:val="BodyText"/>
      </w:pPr>
      <w:r>
        <w:t xml:space="preserve">APIs can be categorized into four main types, each serving distinct purposes and adding specific value to operations. Data APIs allow systems to share information, such as customer records or product catalogs, providing real-time access to critical business data. Function APIs trigger specific actions, like sending emails or processing payments, automating routine tasks and reducing manual effort. Integration APIs connect different </w:t>
      </w:r>
      <w:proofErr w:type="gramStart"/>
      <w:r>
        <w:t>platforms—</w:t>
      </w:r>
      <w:proofErr w:type="gramEnd"/>
      <w:r>
        <w:t xml:space="preserve">for example, linking a CRM system to marketing automation </w:t>
      </w:r>
      <w:proofErr w:type="gramStart"/>
      <w:r>
        <w:t>software—</w:t>
      </w:r>
      <w:proofErr w:type="gramEnd"/>
      <w:r>
        <w:t>helping eliminate data silos and ensuring seamless workflows across departments. Finally, AI/ML APIs add intelligent capabilities to existing systems, such as language translation or image recognition, enhancing products and services with advanced AI features. Together, these four types of APIs enable organizations to streamline operations, improve efficiency, and build smarter, more connected systems.</w:t>
      </w:r>
    </w:p>
    <w:p w14:paraId="66214CA6" w14:textId="77777777" w:rsidR="00092A7E" w:rsidRDefault="00092A7E" w:rsidP="00092A7E">
      <w:pPr>
        <w:pStyle w:val="Heading3"/>
      </w:pPr>
      <w:bookmarkStart w:id="11" w:name="_Toc218514461"/>
      <w:bookmarkStart w:id="12" w:name="how-apis-enable-automation"/>
      <w:bookmarkEnd w:id="10"/>
      <w:r>
        <w:t>3.2.4 How APIs Enable Automation</w:t>
      </w:r>
      <w:bookmarkEnd w:id="11"/>
    </w:p>
    <w:p w14:paraId="268660DC" w14:textId="77777777" w:rsidR="00092A7E" w:rsidRDefault="00092A7E" w:rsidP="00092A7E">
      <w:pPr>
        <w:pStyle w:val="FirstParagraph"/>
      </w:pPr>
      <w:r>
        <w:t>In a traditional, manual workflow, processing a customer order involves multiple steps that require human intervention. An employee receives the order notification, manually checks the inventory system, processes the payment in a separate system, updates the customer record in the CRM, creates a shipping label in the logistics system, and sends a confirmation email. This entire process can take between 15 and 30 minutes per order. In contrast, an API-automated workflow triggers an order-based workflow where APIs simultaneously handle all system updates, including inventory, payment, CRM records, shipping, and customer notifications. Human oversight is only needed for exceptions or errors, reducing the total processing time to around 30 seconds per order. The key insight is that APIs do more than accelerate existing processes—they enable entirely new business models by allowing real-time, automated responses at scale.</w:t>
      </w:r>
    </w:p>
    <w:p w14:paraId="0C3EA8A0" w14:textId="77777777" w:rsidR="00092A7E" w:rsidRDefault="00092A7E" w:rsidP="00092A7E">
      <w:pPr>
        <w:pStyle w:val="Heading3"/>
      </w:pPr>
      <w:bookmarkStart w:id="13" w:name="_Toc218514462"/>
      <w:bookmarkStart w:id="14" w:name="api-security-and-business-considerations"/>
      <w:bookmarkEnd w:id="12"/>
      <w:r>
        <w:t>3.2.5 API Security and Business Considerations</w:t>
      </w:r>
      <w:bookmarkEnd w:id="13"/>
    </w:p>
    <w:p w14:paraId="5AD7A74A" w14:textId="77777777" w:rsidR="00092A7E" w:rsidRDefault="00092A7E" w:rsidP="00092A7E">
      <w:pPr>
        <w:pStyle w:val="FirstParagraph"/>
      </w:pPr>
      <w:r>
        <w:t>Ensuring the security of APIs is critical for protecting business data and maintaining trust in automated systems. Common authentication methods include API keys, which function like simple passwords for system access; OAuth, which provides secure authorization for user data; and JWT tokens, which use encrypted credentials for sensitive operations. Secure APIs offer several business benefits, such as controlled access to confidential information, audit trails for compliance and monitoring, the ability to revoke access when necessary, and protection against unauthorized system usage. Best practices for API security include implementing rate limiting to prevent system overload, encrypting sensitive data, performing regular security audits and updates, and establishing clear access permissions for different types of users. Together, these measures ensure that APIs operate safely and reliably while enabling efficient, automated business processes.</w:t>
      </w:r>
    </w:p>
    <w:p w14:paraId="1E399F52" w14:textId="77777777" w:rsidR="00092A7E" w:rsidRDefault="00092A7E" w:rsidP="00092A7E">
      <w:pPr>
        <w:pStyle w:val="BodyText"/>
      </w:pPr>
      <w:r>
        <w:rPr>
          <w:b/>
          <w:bCs/>
        </w:rPr>
        <w:t>Common Integration Patterns Between Business Systems</w:t>
      </w:r>
    </w:p>
    <w:p w14:paraId="23A1D3AC" w14:textId="77777777" w:rsidR="00092A7E" w:rsidRDefault="00092A7E" w:rsidP="00092A7E">
      <w:pPr>
        <w:pStyle w:val="BodyText"/>
      </w:pPr>
      <w:r>
        <w:rPr>
          <w:noProof/>
        </w:rPr>
        <w:drawing>
          <wp:inline distT="0" distB="0" distL="0" distR="0" wp14:anchorId="1399B63E" wp14:editId="0AF12DC3">
            <wp:extent cx="5067300" cy="3697759"/>
            <wp:effectExtent l="0" t="0" r="0" b="0"/>
            <wp:docPr id="122" name="Picture" descr="A wheel diagram illustration common integration patterns between business systems - event driven, point to point, platform as service, hub and spoke and enterprise service bus (all defined in text)&#10;"/>
            <wp:cNvGraphicFramePr/>
            <a:graphic xmlns:a="http://schemas.openxmlformats.org/drawingml/2006/main">
              <a:graphicData uri="http://schemas.openxmlformats.org/drawingml/2006/picture">
                <pic:pic xmlns:pic="http://schemas.openxmlformats.org/drawingml/2006/picture">
                  <pic:nvPicPr>
                    <pic:cNvPr id="122" name="Picture" descr="A wheel diagram illustration common integration patterns between business systems - event driven, point to point, platform as service, hub and spoke and enterprise service bus (all defined in text)&#10;"/>
                    <pic:cNvPicPr>
                      <a:picLocks noChangeAspect="1" noChangeArrowheads="1"/>
                    </pic:cNvPicPr>
                  </pic:nvPicPr>
                  <pic:blipFill>
                    <a:blip r:embed="rId7"/>
                    <a:stretch>
                      <a:fillRect/>
                    </a:stretch>
                  </pic:blipFill>
                  <pic:spPr bwMode="auto">
                    <a:xfrm>
                      <a:off x="0" y="0"/>
                      <a:ext cx="5067300" cy="3697759"/>
                    </a:xfrm>
                    <a:prstGeom prst="rect">
                      <a:avLst/>
                    </a:prstGeom>
                    <a:noFill/>
                    <a:ln w="9525">
                      <a:noFill/>
                      <a:headEnd/>
                      <a:tailEnd/>
                    </a:ln>
                  </pic:spPr>
                </pic:pic>
              </a:graphicData>
            </a:graphic>
          </wp:inline>
        </w:drawing>
      </w:r>
    </w:p>
    <w:p w14:paraId="124240E2" w14:textId="77777777" w:rsidR="00092A7E" w:rsidRDefault="00092A7E" w:rsidP="00092A7E">
      <w:pPr>
        <w:pStyle w:val="BodyText"/>
      </w:pPr>
      <w:r>
        <w:t>Understanding how business systems connect is essential for identifying automation opportunities and designing efficient workflows. Integration patterns describe standardized approaches to linking systems, allowing information to flow seamlessly and processes to be coordinated effectively. Choosing the right pattern depends on factors such as the number of systems involved, data synchronization frequency, technical expertise, scalability needs, and budget constraints.</w:t>
      </w:r>
    </w:p>
    <w:p w14:paraId="12BFD7F3" w14:textId="77777777" w:rsidR="00092A7E" w:rsidRDefault="00092A7E" w:rsidP="00092A7E">
      <w:pPr>
        <w:pStyle w:val="BodyText"/>
      </w:pPr>
      <w:r>
        <w:rPr>
          <w:b/>
          <w:bCs/>
        </w:rPr>
        <w:t>Point-to-Point Integration</w:t>
      </w:r>
    </w:p>
    <w:p w14:paraId="64CC4171" w14:textId="77777777" w:rsidR="00092A7E" w:rsidRDefault="00092A7E" w:rsidP="00092A7E">
      <w:pPr>
        <w:pStyle w:val="BodyText"/>
      </w:pPr>
      <w:r>
        <w:t xml:space="preserve">One of the simplest approaches is point-to-point integration, in which two specific systems are directly connected. This method is best suited for low-volume, critical system connections, such as linking </w:t>
      </w:r>
      <w:proofErr w:type="gramStart"/>
      <w:r>
        <w:t>a CRM</w:t>
      </w:r>
      <w:proofErr w:type="gramEnd"/>
      <w:r>
        <w:t xml:space="preserve"> to an email marketing platform. Point-to-point integrations are fast to implement and easy to understand, but as the number of systems grows, the network of connections can become complex and difficult to maintain.</w:t>
      </w:r>
    </w:p>
    <w:p w14:paraId="0AF786C9" w14:textId="77777777" w:rsidR="00092A7E" w:rsidRDefault="00092A7E" w:rsidP="00092A7E">
      <w:pPr>
        <w:pStyle w:val="BodyText"/>
      </w:pPr>
      <w:r>
        <w:rPr>
          <w:b/>
          <w:bCs/>
        </w:rPr>
        <w:t>Hub-and-Spoke Integration</w:t>
      </w:r>
    </w:p>
    <w:p w14:paraId="54FA94BA" w14:textId="77777777" w:rsidR="00092A7E" w:rsidRDefault="00092A7E" w:rsidP="00092A7E">
      <w:pPr>
        <w:pStyle w:val="BodyText"/>
      </w:pPr>
      <w:r>
        <w:t>Hub-and-spoke integration centralizes communication through a single hub, which manages all connections between systems. This approach works well for organizations that need multiple systems to share data, such as an ERP system connecting to CRM, inventory, and accounting platforms. Hub-and-spoke integration offers centralized control and easier management, though the hub can become a single point of failure if not properly maintained.</w:t>
      </w:r>
    </w:p>
    <w:p w14:paraId="2C2876E4" w14:textId="77777777" w:rsidR="00092A7E" w:rsidRDefault="00092A7E" w:rsidP="00092A7E">
      <w:pPr>
        <w:pStyle w:val="BodyText"/>
      </w:pPr>
      <w:r>
        <w:rPr>
          <w:b/>
          <w:bCs/>
        </w:rPr>
        <w:t>Enterprise Service Bus (ESB)</w:t>
      </w:r>
    </w:p>
    <w:p w14:paraId="2765E212" w14:textId="77777777" w:rsidR="00092A7E" w:rsidRDefault="00092A7E" w:rsidP="00092A7E">
      <w:pPr>
        <w:pStyle w:val="BodyText"/>
      </w:pPr>
      <w:r>
        <w:t>For large organizations with many complex systems, Enterprise Service Bus (ESB) provides a robust middleware layer to handle communication. ESBs are highly scalable and offer sophisticated error handling, making them suitable for environments like banking systems that link loans, deposits, and customer service platforms. However, ESBs are complex to implement and maintain, requiring significant technical expertise.</w:t>
      </w:r>
    </w:p>
    <w:p w14:paraId="0A9E8CD5" w14:textId="77777777" w:rsidR="00092A7E" w:rsidRDefault="00092A7E" w:rsidP="00092A7E">
      <w:pPr>
        <w:pStyle w:val="BodyText"/>
      </w:pPr>
      <w:r>
        <w:rPr>
          <w:b/>
          <w:bCs/>
        </w:rPr>
        <w:t>Cloud Integration Platforms (iPaaS)</w:t>
      </w:r>
    </w:p>
    <w:p w14:paraId="7F8D7502" w14:textId="77777777" w:rsidR="00092A7E" w:rsidRDefault="00092A7E" w:rsidP="00092A7E">
      <w:pPr>
        <w:pStyle w:val="BodyText"/>
      </w:pPr>
      <w:r>
        <w:t>Cloud-based solutions, known as integration platforms as a service (iPaaS), offer flexible, scalable connections between multiple systems. Platforms such as Zapier allow growing businesses to integrate hundreds of applications quickly using pre-built connectors. While iPaaS solutions are easy to set up and maintain, they involve subscription costs and may create vendor dependency.</w:t>
      </w:r>
    </w:p>
    <w:p w14:paraId="70CEBF51" w14:textId="77777777" w:rsidR="00092A7E" w:rsidRDefault="00092A7E" w:rsidP="00092A7E">
      <w:pPr>
        <w:pStyle w:val="BodyText"/>
      </w:pPr>
      <w:r>
        <w:rPr>
          <w:b/>
          <w:bCs/>
        </w:rPr>
        <w:t>Event-Driven Integration</w:t>
      </w:r>
    </w:p>
    <w:p w14:paraId="468E6E5A" w14:textId="77777777" w:rsidR="00092A7E" w:rsidRDefault="00092A7E" w:rsidP="00092A7E">
      <w:pPr>
        <w:pStyle w:val="BodyText"/>
      </w:pPr>
      <w:r>
        <w:t>Event-driven integration enables systems to respond automatically to specific events or triggers. This pattern is ideal for real-time business needs, such as automatically creating follow-up tasks when a support ticket is generated. Event-driven integration improves responsiveness and efficiency but requires careful design and can be challenging to debug.</w:t>
      </w:r>
    </w:p>
    <w:p w14:paraId="612C4A23" w14:textId="77777777" w:rsidR="00092A7E" w:rsidRDefault="00092A7E" w:rsidP="00092A7E">
      <w:pPr>
        <w:pStyle w:val="BodyText"/>
      </w:pPr>
      <w:r>
        <w:rPr>
          <w:b/>
          <w:bCs/>
        </w:rPr>
        <w:t>Comparing Integration Patterns</w:t>
      </w:r>
    </w:p>
    <w:p w14:paraId="7B24F994" w14:textId="77777777" w:rsidR="00092A7E" w:rsidRDefault="00092A7E" w:rsidP="00092A7E">
      <w:pPr>
        <w:pStyle w:val="BodyText"/>
      </w:pPr>
      <w:r>
        <w:t>Integration patterns can be compared in terms of setup complexity, maintenance, scalability, and suitability. Point-to-point setups are low in complexity and maintenance but scale poorly beyond a few systems. Hub-and-spoke integration offers moderate complexity and better scalability, while ESBs provide enterprise-scale performance at the cost of higher complexity. iPaaS solutions combine low setup effort with excellent scalability for growing businesses, and event-driven architectures deliver real-time responsiveness for time-sensitive operations.</w:t>
      </w:r>
    </w:p>
    <w:p w14:paraId="54878CF0" w14:textId="77777777" w:rsidR="00092A7E" w:rsidRDefault="00092A7E" w:rsidP="00092A7E">
      <w:pPr>
        <w:pStyle w:val="BodyText"/>
      </w:pPr>
      <w:r>
        <w:rPr>
          <w:b/>
          <w:bCs/>
        </w:rPr>
        <w:t>Real-World Examples</w:t>
      </w:r>
    </w:p>
    <w:p w14:paraId="6F36BBDC" w14:textId="77777777" w:rsidR="00092A7E" w:rsidRDefault="00092A7E" w:rsidP="00092A7E">
      <w:pPr>
        <w:pStyle w:val="BodyText"/>
      </w:pPr>
      <w:r>
        <w:t>Real-world examples illustrate the practical application of these patterns. In e-commerce, a customer placing an order triggers a series of API calls: inventory is checked, payment is processed, shipping labels are generated, CRM records are updated, confirmation emails are sent, and analytics data is captured. In professional services firms, completing a project milestone can automatically calculate billable hours, generate invoices, update client records in the CRM, record revenue in accounting systems, and refresh reporting dashboards. These examples demonstrate how integration patterns enable streamlined, automated workflows across complex business environments.</w:t>
      </w:r>
    </w:p>
    <w:p w14:paraId="21D1DD9C" w14:textId="77777777" w:rsidR="00092A7E" w:rsidRDefault="00092A7E" w:rsidP="00092A7E">
      <w:pPr>
        <w:pStyle w:val="BodyText"/>
      </w:pPr>
      <w:r>
        <w:rPr>
          <w:b/>
          <w:bCs/>
        </w:rPr>
        <w:t>Selecting the Right Integration Approach</w:t>
      </w:r>
    </w:p>
    <w:p w14:paraId="0B2F78BA" w14:textId="77777777" w:rsidR="00092A7E" w:rsidRDefault="00092A7E" w:rsidP="00092A7E">
      <w:pPr>
        <w:pStyle w:val="BodyText"/>
      </w:pPr>
      <w:r>
        <w:t xml:space="preserve">Selecting the right integration approach requires careful assessment. Organizations should start simple by evaluating the number of systems to connect, the frequency of data synchronization, technical expertise, and budget. Growth planning is equally important: anticipate additional systems, determine whether real-time or periodic data synchronization is needed, and consider critical </w:t>
      </w:r>
      <w:proofErr w:type="gramStart"/>
      <w:r>
        <w:t>uptime</w:t>
      </w:r>
      <w:proofErr w:type="gramEnd"/>
      <w:r>
        <w:t>, compliance, and security requirements. Warning signs of inadequate integration include manual data transfers, file exchanges via email, and delays in obtaining updated information.</w:t>
      </w:r>
    </w:p>
    <w:p w14:paraId="37371CE3" w14:textId="77777777" w:rsidR="00092A7E" w:rsidRDefault="00092A7E" w:rsidP="00092A7E">
      <w:pPr>
        <w:pStyle w:val="BodyText"/>
      </w:pPr>
      <w:r>
        <w:rPr>
          <w:b/>
          <w:bCs/>
        </w:rPr>
        <w:t>Measuring Integration Success</w:t>
      </w:r>
    </w:p>
    <w:p w14:paraId="585BF579" w14:textId="77777777" w:rsidR="00092A7E" w:rsidRDefault="00092A7E" w:rsidP="00092A7E">
      <w:pPr>
        <w:pStyle w:val="BodyText"/>
      </w:pPr>
      <w:r>
        <w:t>Integration success should be measured using both technical and business metrics. Technical metrics include data synchronization accuracy, system uptime, API response times, and error rates, while business metrics focus on time saved, reduction of data errors, faster decision-making, and improvements in customer experience. By carefully choosing integration patterns, planning for growth, and monitoring outcomes, organizations can design workflows that are efficient, reliable, and scalable.</w:t>
      </w:r>
    </w:p>
    <w:p w14:paraId="5AE507F6" w14:textId="77777777" w:rsidR="00092A7E" w:rsidRDefault="00092A7E" w:rsidP="00092A7E">
      <w:pPr>
        <w:pStyle w:val="Heading2"/>
      </w:pPr>
      <w:bookmarkStart w:id="15" w:name="_Toc218514463"/>
      <w:bookmarkStart w:id="16" w:name="real-time-vs.-batch-data-flows"/>
      <w:bookmarkEnd w:id="4"/>
      <w:bookmarkEnd w:id="14"/>
      <w:r>
        <w:t>3.3 Real-Time vs. Batch Data Flows</w:t>
      </w:r>
      <w:bookmarkEnd w:id="15"/>
    </w:p>
    <w:p w14:paraId="1F6F3C84" w14:textId="77777777" w:rsidR="00092A7E" w:rsidRDefault="00092A7E" w:rsidP="00092A7E">
      <w:pPr>
        <w:pStyle w:val="FirstParagraph"/>
      </w:pPr>
      <w:r>
        <w:t xml:space="preserve">In business automation, understanding when to use real-time versus batch </w:t>
      </w:r>
      <w:proofErr w:type="gramStart"/>
      <w:r>
        <w:t>data processing</w:t>
      </w:r>
      <w:proofErr w:type="gramEnd"/>
      <w:r>
        <w:t xml:space="preserve"> is essential for designing effective workflows. Each approach has distinct advantages and is suited to different operational needs, and choosing the right method affects speed, efficiency, cost, and overall business outcomes.</w:t>
      </w:r>
    </w:p>
    <w:p w14:paraId="097146C2" w14:textId="77777777" w:rsidR="00092A7E" w:rsidRDefault="00092A7E" w:rsidP="00092A7E">
      <w:pPr>
        <w:pStyle w:val="Heading3"/>
      </w:pPr>
      <w:bookmarkStart w:id="17" w:name="_Toc218514464"/>
      <w:bookmarkStart w:id="18" w:name="the-fundamental-difference"/>
      <w:r>
        <w:t>3.3.1 The Fundamental Difference</w:t>
      </w:r>
      <w:bookmarkEnd w:id="17"/>
    </w:p>
    <w:p w14:paraId="59B439CC" w14:textId="77777777" w:rsidR="00092A7E" w:rsidRDefault="00092A7E" w:rsidP="00092A7E">
      <w:pPr>
        <w:pStyle w:val="FirstParagraph"/>
      </w:pPr>
      <w:r>
        <w:t>Real-time processing handles data immediately as it arrives, enabling instant responses and up-to-the-minute information. Batch processing, on the other hand, collects data over time and processes it in groups at scheduled intervals. This approach is more efficient for large volumes of data and complex analytical tasks.</w:t>
      </w:r>
    </w:p>
    <w:p w14:paraId="721A1F39" w14:textId="77777777" w:rsidR="00092A7E" w:rsidRDefault="00092A7E" w:rsidP="00092A7E">
      <w:pPr>
        <w:pStyle w:val="Heading3"/>
      </w:pPr>
      <w:bookmarkStart w:id="19" w:name="_Toc218514465"/>
      <w:bookmarkStart w:id="20" w:name="comparing-real-time-and-batch-processing"/>
      <w:bookmarkEnd w:id="18"/>
      <w:r>
        <w:t>3.3.2 Comparing Real-Time and Batch Processing</w:t>
      </w:r>
      <w:bookmarkEnd w:id="19"/>
    </w:p>
    <w:tbl>
      <w:tblPr>
        <w:tblStyle w:val="Table"/>
        <w:tblW w:w="5000" w:type="pct"/>
        <w:tblLayout w:type="fixed"/>
        <w:tblLook w:val="0000" w:firstRow="0" w:lastRow="0" w:firstColumn="0" w:lastColumn="0" w:noHBand="0" w:noVBand="0"/>
      </w:tblPr>
      <w:tblGrid>
        <w:gridCol w:w="9360"/>
      </w:tblGrid>
      <w:tr w:rsidR="00092A7E" w14:paraId="78579889" w14:textId="77777777" w:rsidTr="00C87320">
        <w:tc>
          <w:tcPr>
            <w:tcW w:w="7920" w:type="dxa"/>
          </w:tcPr>
          <w:p w14:paraId="6F2CBEEC" w14:textId="77777777" w:rsidR="00092A7E" w:rsidRDefault="00092A7E" w:rsidP="00C87320">
            <w:pPr>
              <w:pStyle w:val="ImageCaption"/>
              <w:spacing w:before="200"/>
            </w:pPr>
            <w:bookmarkStart w:id="21" w:name="tbl-processing-modes"/>
            <w:r>
              <w:t>Table 3.1: Real-Time Processing vs. Batch Processing</w:t>
            </w:r>
          </w:p>
          <w:tbl>
            <w:tblPr>
              <w:tblStyle w:val="Table"/>
              <w:tblW w:w="5000" w:type="pct"/>
              <w:tblLayout w:type="fixed"/>
              <w:tblLook w:val="0020" w:firstRow="1" w:lastRow="0" w:firstColumn="0" w:lastColumn="0" w:noHBand="0" w:noVBand="0"/>
            </w:tblPr>
            <w:tblGrid>
              <w:gridCol w:w="1463"/>
              <w:gridCol w:w="4207"/>
              <w:gridCol w:w="3474"/>
            </w:tblGrid>
            <w:tr w:rsidR="00092A7E" w14:paraId="384BA137" w14:textId="77777777" w:rsidTr="00C87320">
              <w:trPr>
                <w:cnfStyle w:val="100000000000" w:firstRow="1" w:lastRow="0" w:firstColumn="0" w:lastColumn="0" w:oddVBand="0" w:evenVBand="0" w:oddHBand="0" w:evenHBand="0" w:firstRowFirstColumn="0" w:firstRowLastColumn="0" w:lastRowFirstColumn="0" w:lastRowLastColumn="0"/>
                <w:tblHeader/>
              </w:trPr>
              <w:tc>
                <w:tcPr>
                  <w:tcW w:w="1267" w:type="dxa"/>
                </w:tcPr>
                <w:p w14:paraId="22A54F42" w14:textId="77777777" w:rsidR="00092A7E" w:rsidRDefault="00092A7E" w:rsidP="00C87320">
                  <w:pPr>
                    <w:pStyle w:val="Compact"/>
                    <w:jc w:val="center"/>
                  </w:pPr>
                  <w:r>
                    <w:t>Aspect</w:t>
                  </w:r>
                </w:p>
              </w:tc>
              <w:tc>
                <w:tcPr>
                  <w:tcW w:w="3643" w:type="dxa"/>
                </w:tcPr>
                <w:p w14:paraId="3ADE63A1" w14:textId="77777777" w:rsidR="00092A7E" w:rsidRDefault="00092A7E" w:rsidP="00C87320">
                  <w:pPr>
                    <w:pStyle w:val="Compact"/>
                    <w:jc w:val="center"/>
                  </w:pPr>
                  <w:r>
                    <w:t>Real-time processing</w:t>
                  </w:r>
                </w:p>
              </w:tc>
              <w:tc>
                <w:tcPr>
                  <w:tcW w:w="3009" w:type="dxa"/>
                </w:tcPr>
                <w:p w14:paraId="00A0EA5D" w14:textId="77777777" w:rsidR="00092A7E" w:rsidRDefault="00092A7E" w:rsidP="00C87320">
                  <w:pPr>
                    <w:pStyle w:val="Compact"/>
                    <w:jc w:val="center"/>
                  </w:pPr>
                  <w:r>
                    <w:t>Batch processing</w:t>
                  </w:r>
                </w:p>
              </w:tc>
            </w:tr>
            <w:tr w:rsidR="00092A7E" w14:paraId="199C0ABF" w14:textId="77777777" w:rsidTr="00C87320">
              <w:tc>
                <w:tcPr>
                  <w:tcW w:w="1267" w:type="dxa"/>
                </w:tcPr>
                <w:p w14:paraId="487493FF" w14:textId="77777777" w:rsidR="00092A7E" w:rsidRDefault="00092A7E" w:rsidP="00C87320">
                  <w:pPr>
                    <w:pStyle w:val="Compact"/>
                    <w:jc w:val="center"/>
                  </w:pPr>
                  <w:r>
                    <w:t>Speed</w:t>
                  </w:r>
                </w:p>
              </w:tc>
              <w:tc>
                <w:tcPr>
                  <w:tcW w:w="3643" w:type="dxa"/>
                </w:tcPr>
                <w:p w14:paraId="3B5E7AD9" w14:textId="77777777" w:rsidR="00092A7E" w:rsidRDefault="00092A7E" w:rsidP="00C87320">
                  <w:pPr>
                    <w:pStyle w:val="Compact"/>
                    <w:jc w:val="center"/>
                  </w:pPr>
                  <w:r>
                    <w:t>Immediate (milliseconds–seconds)</w:t>
                  </w:r>
                </w:p>
              </w:tc>
              <w:tc>
                <w:tcPr>
                  <w:tcW w:w="3009" w:type="dxa"/>
                </w:tcPr>
                <w:p w14:paraId="329BAF2C" w14:textId="77777777" w:rsidR="00092A7E" w:rsidRDefault="00092A7E" w:rsidP="00C87320">
                  <w:pPr>
                    <w:pStyle w:val="Compact"/>
                    <w:jc w:val="center"/>
                  </w:pPr>
                  <w:r>
                    <w:t>Delayed (minutes–hours)</w:t>
                  </w:r>
                </w:p>
              </w:tc>
            </w:tr>
            <w:tr w:rsidR="00092A7E" w14:paraId="26279A1D" w14:textId="77777777" w:rsidTr="00C87320">
              <w:tc>
                <w:tcPr>
                  <w:tcW w:w="1267" w:type="dxa"/>
                </w:tcPr>
                <w:p w14:paraId="1254FA1C" w14:textId="77777777" w:rsidR="00092A7E" w:rsidRDefault="00092A7E" w:rsidP="00C87320">
                  <w:pPr>
                    <w:pStyle w:val="Compact"/>
                    <w:jc w:val="center"/>
                  </w:pPr>
                  <w:r>
                    <w:t>Resource usage</w:t>
                  </w:r>
                </w:p>
              </w:tc>
              <w:tc>
                <w:tcPr>
                  <w:tcW w:w="3643" w:type="dxa"/>
                </w:tcPr>
                <w:p w14:paraId="610BCAE7" w14:textId="77777777" w:rsidR="00092A7E" w:rsidRDefault="00092A7E" w:rsidP="00C87320">
                  <w:pPr>
                    <w:pStyle w:val="Compact"/>
                    <w:jc w:val="center"/>
                  </w:pPr>
                  <w:r>
                    <w:t>Continuous, higher overhead</w:t>
                  </w:r>
                </w:p>
              </w:tc>
              <w:tc>
                <w:tcPr>
                  <w:tcW w:w="3009" w:type="dxa"/>
                </w:tcPr>
                <w:p w14:paraId="1C73EBBE" w14:textId="77777777" w:rsidR="00092A7E" w:rsidRDefault="00092A7E" w:rsidP="00C87320">
                  <w:pPr>
                    <w:pStyle w:val="Compact"/>
                    <w:jc w:val="center"/>
                  </w:pPr>
                  <w:r>
                    <w:t>Periodic, efficient</w:t>
                  </w:r>
                </w:p>
              </w:tc>
            </w:tr>
            <w:tr w:rsidR="00092A7E" w14:paraId="6C41BF26" w14:textId="77777777" w:rsidTr="00C87320">
              <w:tc>
                <w:tcPr>
                  <w:tcW w:w="1267" w:type="dxa"/>
                </w:tcPr>
                <w:p w14:paraId="585005F4" w14:textId="77777777" w:rsidR="00092A7E" w:rsidRDefault="00092A7E" w:rsidP="00C87320">
                  <w:pPr>
                    <w:pStyle w:val="Compact"/>
                    <w:jc w:val="center"/>
                  </w:pPr>
                  <w:r>
                    <w:t>Complexity</w:t>
                  </w:r>
                </w:p>
              </w:tc>
              <w:tc>
                <w:tcPr>
                  <w:tcW w:w="3643" w:type="dxa"/>
                </w:tcPr>
                <w:p w14:paraId="11013D0E" w14:textId="77777777" w:rsidR="00092A7E" w:rsidRDefault="00092A7E" w:rsidP="00C87320">
                  <w:pPr>
                    <w:pStyle w:val="Compact"/>
                    <w:jc w:val="center"/>
                  </w:pPr>
                  <w:r>
                    <w:t>Higher technical complexity</w:t>
                  </w:r>
                </w:p>
              </w:tc>
              <w:tc>
                <w:tcPr>
                  <w:tcW w:w="3009" w:type="dxa"/>
                </w:tcPr>
                <w:p w14:paraId="77900CA3" w14:textId="77777777" w:rsidR="00092A7E" w:rsidRDefault="00092A7E" w:rsidP="00C87320">
                  <w:pPr>
                    <w:pStyle w:val="Compact"/>
                    <w:jc w:val="center"/>
                  </w:pPr>
                  <w:r>
                    <w:t>Simpler to implement</w:t>
                  </w:r>
                </w:p>
              </w:tc>
            </w:tr>
            <w:tr w:rsidR="00092A7E" w14:paraId="4DBF94CC" w14:textId="77777777" w:rsidTr="00C87320">
              <w:tc>
                <w:tcPr>
                  <w:tcW w:w="1267" w:type="dxa"/>
                </w:tcPr>
                <w:p w14:paraId="314F1169" w14:textId="77777777" w:rsidR="00092A7E" w:rsidRDefault="00092A7E" w:rsidP="00C87320">
                  <w:pPr>
                    <w:pStyle w:val="Compact"/>
                    <w:jc w:val="center"/>
                  </w:pPr>
                  <w:r>
                    <w:t>Cost</w:t>
                  </w:r>
                </w:p>
              </w:tc>
              <w:tc>
                <w:tcPr>
                  <w:tcW w:w="3643" w:type="dxa"/>
                </w:tcPr>
                <w:p w14:paraId="415BC5AE" w14:textId="77777777" w:rsidR="00092A7E" w:rsidRDefault="00092A7E" w:rsidP="00C87320">
                  <w:pPr>
                    <w:pStyle w:val="Compact"/>
                    <w:jc w:val="center"/>
                  </w:pPr>
                  <w:r>
                    <w:t>Higher operational costs</w:t>
                  </w:r>
                </w:p>
              </w:tc>
              <w:tc>
                <w:tcPr>
                  <w:tcW w:w="3009" w:type="dxa"/>
                </w:tcPr>
                <w:p w14:paraId="78BB8A8F" w14:textId="77777777" w:rsidR="00092A7E" w:rsidRDefault="00092A7E" w:rsidP="00C87320">
                  <w:pPr>
                    <w:pStyle w:val="Compact"/>
                    <w:jc w:val="center"/>
                  </w:pPr>
                  <w:r>
                    <w:t>Lower operational costs</w:t>
                  </w:r>
                </w:p>
              </w:tc>
            </w:tr>
            <w:tr w:rsidR="00092A7E" w14:paraId="0B59289F" w14:textId="77777777" w:rsidTr="00C87320">
              <w:tc>
                <w:tcPr>
                  <w:tcW w:w="1267" w:type="dxa"/>
                </w:tcPr>
                <w:p w14:paraId="49BC31E5" w14:textId="77777777" w:rsidR="00092A7E" w:rsidRDefault="00092A7E" w:rsidP="00C87320">
                  <w:pPr>
                    <w:pStyle w:val="Compact"/>
                    <w:jc w:val="center"/>
                  </w:pPr>
                  <w:r>
                    <w:t>Use cases</w:t>
                  </w:r>
                </w:p>
              </w:tc>
              <w:tc>
                <w:tcPr>
                  <w:tcW w:w="3643" w:type="dxa"/>
                </w:tcPr>
                <w:p w14:paraId="53D30B96" w14:textId="77777777" w:rsidR="00092A7E" w:rsidRDefault="00092A7E" w:rsidP="00C87320">
                  <w:pPr>
                    <w:pStyle w:val="Compact"/>
                    <w:jc w:val="center"/>
                  </w:pPr>
                  <w:r>
                    <w:t>Fraud detection, Live dashboards</w:t>
                  </w:r>
                </w:p>
              </w:tc>
              <w:tc>
                <w:tcPr>
                  <w:tcW w:w="3009" w:type="dxa"/>
                </w:tcPr>
                <w:p w14:paraId="62705AD2" w14:textId="77777777" w:rsidR="00092A7E" w:rsidRDefault="00092A7E" w:rsidP="00C87320">
                  <w:pPr>
                    <w:pStyle w:val="Compact"/>
                    <w:jc w:val="center"/>
                  </w:pPr>
                  <w:r>
                    <w:t>Reports, Analytics, Backups</w:t>
                  </w:r>
                </w:p>
              </w:tc>
            </w:tr>
            <w:bookmarkEnd w:id="21"/>
          </w:tbl>
          <w:p w14:paraId="767818AD" w14:textId="77777777" w:rsidR="00092A7E" w:rsidRDefault="00092A7E" w:rsidP="00C87320"/>
        </w:tc>
      </w:tr>
    </w:tbl>
    <w:p w14:paraId="5383AAFE" w14:textId="77777777" w:rsidR="00092A7E" w:rsidRDefault="00092A7E" w:rsidP="00092A7E">
      <w:pPr>
        <w:pStyle w:val="Heading4"/>
      </w:pPr>
      <w:bookmarkStart w:id="22" w:name="when-to-use-real-time-processing"/>
      <w:r>
        <w:t>3.3.2.1 When to Use Real-Time Processing</w:t>
      </w:r>
    </w:p>
    <w:p w14:paraId="7D43A969" w14:textId="77777777" w:rsidR="00092A7E" w:rsidRDefault="00092A7E" w:rsidP="00092A7E">
      <w:pPr>
        <w:pStyle w:val="FirstParagraph"/>
      </w:pPr>
      <w:r>
        <w:t>Real-time processing is critical when speed directly impacts the customer experience, safety, or business decisions. In financial services, it enables credit card fraud detection, instant balance updates, and real-time stock trading. In e-commerce, real-time processing ensures inventory is updated instantly, pricing adapts dynamically to demand, and product recommendations reflect current browsing behavior. In customer service, live chat systems, immediate ticket routing, and real-time sentiment analysis allow companies to respond to client needs without delay.</w:t>
      </w:r>
    </w:p>
    <w:p w14:paraId="27C72ADD" w14:textId="77777777" w:rsidR="00092A7E" w:rsidRDefault="00092A7E" w:rsidP="00092A7E">
      <w:pPr>
        <w:pStyle w:val="Heading4"/>
      </w:pPr>
      <w:bookmarkStart w:id="23" w:name="when-to-use-batch-processing"/>
      <w:bookmarkEnd w:id="22"/>
      <w:r>
        <w:t>3.3.2.2 When to Use Batch Processing</w:t>
      </w:r>
    </w:p>
    <w:p w14:paraId="1EC434BB" w14:textId="77777777" w:rsidR="00092A7E" w:rsidRDefault="00092A7E" w:rsidP="00092A7E">
      <w:pPr>
        <w:pStyle w:val="FirstParagraph"/>
      </w:pPr>
      <w:r>
        <w:t>Batch processing is best for managing large amounts of data efficiently, especially when immediate action is not required. It supports financial reporting, regulatory compliance, and large-scale customer billing by consolidating data from multiple sources. Marketing teams use batch processing to analyze campaign performance, update customer segmentation, and prepare mass email campaigns. Operations teams leverage it for inventory planning, payroll processing, and systematic data backups. This approach optimizes resource use and ensures consistency over speed.</w:t>
      </w:r>
    </w:p>
    <w:p w14:paraId="6827B89B" w14:textId="77777777" w:rsidR="00092A7E" w:rsidRDefault="00092A7E" w:rsidP="00092A7E">
      <w:pPr>
        <w:pStyle w:val="Heading4"/>
      </w:pPr>
      <w:bookmarkStart w:id="24" w:name="hybrid-approaches"/>
      <w:bookmarkEnd w:id="23"/>
      <w:r>
        <w:t>3.3.2.3 Hybrid Approaches</w:t>
      </w:r>
    </w:p>
    <w:p w14:paraId="56E207DF" w14:textId="77777777" w:rsidR="00092A7E" w:rsidRDefault="00092A7E" w:rsidP="00092A7E">
      <w:pPr>
        <w:pStyle w:val="FirstParagraph"/>
      </w:pPr>
      <w:r>
        <w:t>Many businesses combine real-time and batch processing to take advantage of both methods. E-commerce platforms may use real-time workflows for inventory updates, payment processing, and customer notifications while relying on batch processing for daily sales reports, monthly customer analytics, and quarterly financial statements. Similarly, banking systems use real-time processing for transactions and fraud detection while performing interest calculations, monthly statements, and regulatory reporting in batches.</w:t>
      </w:r>
    </w:p>
    <w:p w14:paraId="3854CFA0" w14:textId="77777777" w:rsidR="00092A7E" w:rsidRDefault="00092A7E" w:rsidP="00092A7E">
      <w:pPr>
        <w:pStyle w:val="Heading3"/>
      </w:pPr>
      <w:bookmarkStart w:id="25" w:name="_Toc218514466"/>
      <w:bookmarkStart w:id="26" w:name="implementation-considerations"/>
      <w:bookmarkEnd w:id="20"/>
      <w:bookmarkEnd w:id="24"/>
      <w:r>
        <w:t>3.3.3 Implementation Considerations</w:t>
      </w:r>
      <w:bookmarkEnd w:id="25"/>
    </w:p>
    <w:p w14:paraId="28AE1042" w14:textId="77777777" w:rsidR="00092A7E" w:rsidRDefault="00092A7E" w:rsidP="00092A7E">
      <w:pPr>
        <w:pStyle w:val="FirstParagraph"/>
      </w:pPr>
      <w:r>
        <w:t>Real-time processing requires a robust infrastructure capable of 24/7 operation, continuous monitoring, alerting systems, and backup mechanisms. It also demands higher technical expertise to maintain performance and reliability. Batch processing requires scheduled job management, data quality validation, error handling, and sufficient storage for temporary and processed datasets.</w:t>
      </w:r>
    </w:p>
    <w:p w14:paraId="38B2735E" w14:textId="77777777" w:rsidR="00092A7E" w:rsidRDefault="00092A7E" w:rsidP="00092A7E">
      <w:pPr>
        <w:pStyle w:val="Heading4"/>
      </w:pPr>
      <w:bookmarkStart w:id="27" w:name="cost-and-value-comparison"/>
      <w:r>
        <w:t>3.3.3.1 Cost and Value Comparison</w:t>
      </w:r>
    </w:p>
    <w:p w14:paraId="3100AA40" w14:textId="77777777" w:rsidR="00092A7E" w:rsidRDefault="00092A7E" w:rsidP="00092A7E">
      <w:pPr>
        <w:pStyle w:val="FirstParagraph"/>
      </w:pPr>
      <w:r>
        <w:t>Combining both methods often produces the best results. Real-time processing is most valuable for operational tasks where immediacy is critical, while batch processing provides insights and efficiency for analytical tasks. Choosing the appropriate method requires understanding business requirements, assessing technical capabilities, evaluating costs, and considering future data needs. Common mistakes include implementing real-time unnecessarily, relying on batch for time-sensitive tasks, ignoring future growth in data volume, and neglecting monitoring and error handling.</w:t>
      </w:r>
    </w:p>
    <w:p w14:paraId="01902F92" w14:textId="77777777" w:rsidR="00092A7E" w:rsidRDefault="00092A7E" w:rsidP="00092A7E">
      <w:pPr>
        <w:pStyle w:val="Heading2"/>
      </w:pPr>
      <w:bookmarkStart w:id="28" w:name="_Toc218514467"/>
      <w:bookmarkStart w:id="29" w:name="Xb7256bf4a5f5a3cb4329e4dace801bc46aec1a3"/>
      <w:bookmarkEnd w:id="16"/>
      <w:bookmarkEnd w:id="26"/>
      <w:bookmarkEnd w:id="27"/>
      <w:r>
        <w:t>3.4 How AI Assistants Access and Manipulate Operational Data</w:t>
      </w:r>
      <w:bookmarkEnd w:id="28"/>
    </w:p>
    <w:p w14:paraId="137DB11C" w14:textId="77777777" w:rsidR="00092A7E" w:rsidRDefault="00092A7E" w:rsidP="00092A7E">
      <w:pPr>
        <w:pStyle w:val="FirstParagraph"/>
      </w:pPr>
      <w:r>
        <w:t>AI assistants are transforming business operations by accessing, analyzing, and acting on data from multiple systems. By integrating with business infrastructure, these intelligent systems enable truly automated workflows that reduce manual effort, increase accuracy, and provide real-time insights for decision-making.</w:t>
      </w:r>
    </w:p>
    <w:p w14:paraId="58003412" w14:textId="77777777" w:rsidR="00092A7E" w:rsidRDefault="00092A7E" w:rsidP="00092A7E">
      <w:pPr>
        <w:pStyle w:val="Heading3"/>
      </w:pPr>
      <w:bookmarkStart w:id="30" w:name="_Toc218514468"/>
      <w:bookmarkStart w:id="31" w:name="Xe3815f26e01b672695c382fc25a6535a12c7ff6"/>
      <w:r>
        <w:t>3.4.1 How AI Assistants Connect to Business Systems</w:t>
      </w:r>
      <w:bookmarkEnd w:id="30"/>
    </w:p>
    <w:p w14:paraId="1ADA8506" w14:textId="77777777" w:rsidR="00092A7E" w:rsidRDefault="00092A7E" w:rsidP="00092A7E">
      <w:pPr>
        <w:pStyle w:val="FirstParagraph"/>
      </w:pPr>
      <w:r>
        <w:t>Modern AI assistants typically follow an API-first architecture, connecting directly to business systems. This allows them to read data, trigger actions, and update records across multiple platforms simultaneously. Integration can occur at three levels. In the read-only level, AI assistants can view and analyze data to generate reports or answer questions, providing insights and analysis. At the action-enabled level, AI triggers predefined workflows such as sending emails or creating support tickets, automating routine processes. Full integration allows AI to read, analyze, and modify data directly, updating records and making decisions to achieve intelligent automation. : Levels of AI System Access and Integration {#tbl-ai-access-levels width=</w:t>
      </w:r>
      <w:proofErr w:type="gramStart"/>
      <w:r>
        <w:t>80%}</w:t>
      </w:r>
      <w:proofErr w:type="gramEnd"/>
    </w:p>
    <w:tbl>
      <w:tblPr>
        <w:tblStyle w:val="Table"/>
        <w:tblW w:w="5000" w:type="pct"/>
        <w:tblLayout w:type="fixed"/>
        <w:tblLook w:val="0020" w:firstRow="1" w:lastRow="0" w:firstColumn="0" w:lastColumn="0" w:noHBand="0" w:noVBand="0"/>
      </w:tblPr>
      <w:tblGrid>
        <w:gridCol w:w="1414"/>
        <w:gridCol w:w="2832"/>
        <w:gridCol w:w="2911"/>
        <w:gridCol w:w="2203"/>
      </w:tblGrid>
      <w:tr w:rsidR="00092A7E" w14:paraId="1468A738" w14:textId="77777777" w:rsidTr="00C87320">
        <w:trPr>
          <w:cnfStyle w:val="100000000000" w:firstRow="1" w:lastRow="0" w:firstColumn="0" w:lastColumn="0" w:oddVBand="0" w:evenVBand="0" w:oddHBand="0" w:evenHBand="0" w:firstRowFirstColumn="0" w:firstRowLastColumn="0" w:lastRowFirstColumn="0" w:lastRowLastColumn="0"/>
          <w:tblHeader/>
        </w:trPr>
        <w:tc>
          <w:tcPr>
            <w:tcW w:w="1197" w:type="dxa"/>
          </w:tcPr>
          <w:p w14:paraId="4C2DF751" w14:textId="77777777" w:rsidR="00092A7E" w:rsidRDefault="00092A7E" w:rsidP="00C87320">
            <w:pPr>
              <w:pStyle w:val="Compact"/>
            </w:pPr>
            <w:r>
              <w:t>Level</w:t>
            </w:r>
          </w:p>
        </w:tc>
        <w:tc>
          <w:tcPr>
            <w:tcW w:w="2395" w:type="dxa"/>
          </w:tcPr>
          <w:p w14:paraId="1A75CADA" w14:textId="77777777" w:rsidR="00092A7E" w:rsidRDefault="00092A7E" w:rsidP="00C87320">
            <w:pPr>
              <w:pStyle w:val="Compact"/>
            </w:pPr>
            <w:r>
              <w:t>Capability</w:t>
            </w:r>
          </w:p>
        </w:tc>
        <w:tc>
          <w:tcPr>
            <w:tcW w:w="2462" w:type="dxa"/>
          </w:tcPr>
          <w:p w14:paraId="33F3BA4E" w14:textId="77777777" w:rsidR="00092A7E" w:rsidRDefault="00092A7E" w:rsidP="00C87320">
            <w:pPr>
              <w:pStyle w:val="Compact"/>
            </w:pPr>
            <w:r>
              <w:t>Examples</w:t>
            </w:r>
          </w:p>
        </w:tc>
        <w:tc>
          <w:tcPr>
            <w:tcW w:w="1863" w:type="dxa"/>
          </w:tcPr>
          <w:p w14:paraId="283F0327" w14:textId="77777777" w:rsidR="00092A7E" w:rsidRDefault="00092A7E" w:rsidP="00C87320">
            <w:pPr>
              <w:pStyle w:val="Compact"/>
            </w:pPr>
            <w:r>
              <w:t>Business impact</w:t>
            </w:r>
          </w:p>
        </w:tc>
      </w:tr>
      <w:tr w:rsidR="00092A7E" w14:paraId="4B3284EC" w14:textId="77777777" w:rsidTr="00C87320">
        <w:tc>
          <w:tcPr>
            <w:tcW w:w="1197" w:type="dxa"/>
          </w:tcPr>
          <w:p w14:paraId="0DE3BDBA" w14:textId="77777777" w:rsidR="00092A7E" w:rsidRDefault="00092A7E" w:rsidP="00C87320">
            <w:pPr>
              <w:pStyle w:val="Compact"/>
            </w:pPr>
            <w:r>
              <w:t>Read-only access</w:t>
            </w:r>
          </w:p>
        </w:tc>
        <w:tc>
          <w:tcPr>
            <w:tcW w:w="2395" w:type="dxa"/>
          </w:tcPr>
          <w:p w14:paraId="74F24CC1" w14:textId="77777777" w:rsidR="00092A7E" w:rsidRDefault="00092A7E" w:rsidP="00C87320">
            <w:pPr>
              <w:pStyle w:val="Compact"/>
            </w:pPr>
            <w:r>
              <w:t>View and analyze data</w:t>
            </w:r>
          </w:p>
        </w:tc>
        <w:tc>
          <w:tcPr>
            <w:tcW w:w="2462" w:type="dxa"/>
          </w:tcPr>
          <w:p w14:paraId="0E776D32" w14:textId="77777777" w:rsidR="00092A7E" w:rsidRDefault="00092A7E" w:rsidP="00C87320">
            <w:pPr>
              <w:pStyle w:val="Compact"/>
            </w:pPr>
            <w:r>
              <w:t>Generate reports, Answer questions</w:t>
            </w:r>
          </w:p>
        </w:tc>
        <w:tc>
          <w:tcPr>
            <w:tcW w:w="1863" w:type="dxa"/>
          </w:tcPr>
          <w:p w14:paraId="16A4CBFE" w14:textId="77777777" w:rsidR="00092A7E" w:rsidRDefault="00092A7E" w:rsidP="00C87320">
            <w:pPr>
              <w:pStyle w:val="Compact"/>
            </w:pPr>
            <w:r>
              <w:t>Insights and analysis</w:t>
            </w:r>
          </w:p>
        </w:tc>
      </w:tr>
      <w:tr w:rsidR="00092A7E" w14:paraId="41C948B2" w14:textId="77777777" w:rsidTr="00C87320">
        <w:tc>
          <w:tcPr>
            <w:tcW w:w="1197" w:type="dxa"/>
          </w:tcPr>
          <w:p w14:paraId="6C222DAB" w14:textId="77777777" w:rsidR="00092A7E" w:rsidRDefault="00092A7E" w:rsidP="00C87320">
            <w:pPr>
              <w:pStyle w:val="Compact"/>
            </w:pPr>
            <w:r>
              <w:t>Action-enabled</w:t>
            </w:r>
          </w:p>
        </w:tc>
        <w:tc>
          <w:tcPr>
            <w:tcW w:w="2395" w:type="dxa"/>
          </w:tcPr>
          <w:p w14:paraId="763EF473" w14:textId="77777777" w:rsidR="00092A7E" w:rsidRDefault="00092A7E" w:rsidP="00C87320">
            <w:pPr>
              <w:pStyle w:val="Compact"/>
            </w:pPr>
            <w:r>
              <w:t>Trigger predefined workflows</w:t>
            </w:r>
          </w:p>
        </w:tc>
        <w:tc>
          <w:tcPr>
            <w:tcW w:w="2462" w:type="dxa"/>
          </w:tcPr>
          <w:p w14:paraId="6834DF61" w14:textId="77777777" w:rsidR="00092A7E" w:rsidRDefault="00092A7E" w:rsidP="00C87320">
            <w:pPr>
              <w:pStyle w:val="Compact"/>
            </w:pPr>
            <w:r>
              <w:t>Send emails, Create tickets</w:t>
            </w:r>
          </w:p>
        </w:tc>
        <w:tc>
          <w:tcPr>
            <w:tcW w:w="1863" w:type="dxa"/>
          </w:tcPr>
          <w:p w14:paraId="4F6A72F7" w14:textId="77777777" w:rsidR="00092A7E" w:rsidRDefault="00092A7E" w:rsidP="00C87320">
            <w:pPr>
              <w:pStyle w:val="Compact"/>
            </w:pPr>
            <w:r>
              <w:t>Process automation</w:t>
            </w:r>
          </w:p>
        </w:tc>
      </w:tr>
      <w:tr w:rsidR="00092A7E" w14:paraId="0A7C5AC5" w14:textId="77777777" w:rsidTr="00C87320">
        <w:tc>
          <w:tcPr>
            <w:tcW w:w="1197" w:type="dxa"/>
          </w:tcPr>
          <w:p w14:paraId="61F69BC5" w14:textId="77777777" w:rsidR="00092A7E" w:rsidRDefault="00092A7E" w:rsidP="00C87320">
            <w:pPr>
              <w:pStyle w:val="Compact"/>
            </w:pPr>
            <w:r>
              <w:t>Full integration</w:t>
            </w:r>
          </w:p>
        </w:tc>
        <w:tc>
          <w:tcPr>
            <w:tcW w:w="2395" w:type="dxa"/>
          </w:tcPr>
          <w:p w14:paraId="4CC2BCDE" w14:textId="77777777" w:rsidR="00092A7E" w:rsidRDefault="00092A7E" w:rsidP="00C87320">
            <w:pPr>
              <w:pStyle w:val="Compact"/>
            </w:pPr>
            <w:r>
              <w:t>Read, analyze, and modify data</w:t>
            </w:r>
          </w:p>
        </w:tc>
        <w:tc>
          <w:tcPr>
            <w:tcW w:w="2462" w:type="dxa"/>
          </w:tcPr>
          <w:p w14:paraId="65D4647E" w14:textId="77777777" w:rsidR="00092A7E" w:rsidRDefault="00092A7E" w:rsidP="00C87320">
            <w:pPr>
              <w:pStyle w:val="Compact"/>
            </w:pPr>
            <w:r>
              <w:t>Update records, Make decisions</w:t>
            </w:r>
          </w:p>
        </w:tc>
        <w:tc>
          <w:tcPr>
            <w:tcW w:w="1863" w:type="dxa"/>
          </w:tcPr>
          <w:p w14:paraId="2020196E" w14:textId="77777777" w:rsidR="00092A7E" w:rsidRDefault="00092A7E" w:rsidP="00C87320">
            <w:pPr>
              <w:pStyle w:val="Compact"/>
            </w:pPr>
            <w:r>
              <w:t>Intelligent automation</w:t>
            </w:r>
          </w:p>
        </w:tc>
      </w:tr>
    </w:tbl>
    <w:p w14:paraId="5FB2E7D2" w14:textId="77777777" w:rsidR="00092A7E" w:rsidRDefault="00092A7E" w:rsidP="00092A7E">
      <w:pPr>
        <w:pStyle w:val="BodyText"/>
      </w:pPr>
      <w:r>
        <w:t xml:space="preserve">AI assistants access data using different patterns. The query pattern involves asking for specific information, such as sales </w:t>
      </w:r>
      <w:proofErr w:type="gramStart"/>
      <w:r>
        <w:t>numbers</w:t>
      </w:r>
      <w:proofErr w:type="gramEnd"/>
      <w:r>
        <w:t xml:space="preserve"> for a particular quarter. The analysis pattern combines data from multiple sources to generate actionable insights, like combining sales, customer feedback, and market trends to recommend pricing changes. The trigger pattern monitors systems and automatically responds to specific conditions, such as detecting low inventory levels and creating purchase orders. Finally, the workflow pattern allows AI to orchestrate complex processes across multiple systems, managing end-to-end operations like customer onboarding from initial contact to account setup.</w:t>
      </w:r>
    </w:p>
    <w:p w14:paraId="6D743C3A" w14:textId="77777777" w:rsidR="00092A7E" w:rsidRDefault="00092A7E" w:rsidP="00092A7E">
      <w:pPr>
        <w:pStyle w:val="Heading3"/>
      </w:pPr>
      <w:bookmarkStart w:id="32" w:name="_Toc218514469"/>
      <w:bookmarkStart w:id="33" w:name="real-world-ai-integration-examples"/>
      <w:bookmarkEnd w:id="31"/>
      <w:r>
        <w:t>3.4.2 Real-World AI Integration Examples</w:t>
      </w:r>
      <w:bookmarkEnd w:id="32"/>
    </w:p>
    <w:p w14:paraId="1F376E37" w14:textId="77777777" w:rsidR="00092A7E" w:rsidRDefault="00092A7E" w:rsidP="00092A7E">
      <w:pPr>
        <w:pStyle w:val="Heading4"/>
      </w:pPr>
      <w:bookmarkStart w:id="34" w:name="crm-updates-and-customer-management"/>
      <w:r>
        <w:t>3.4.2.1 CRM Updates and Customer Management</w:t>
      </w:r>
    </w:p>
    <w:p w14:paraId="2C8BF23F" w14:textId="77777777" w:rsidR="00092A7E" w:rsidRDefault="00092A7E" w:rsidP="00092A7E">
      <w:pPr>
        <w:pStyle w:val="FirstParagraph"/>
      </w:pPr>
      <w:r>
        <w:rPr>
          <w:noProof/>
        </w:rPr>
        <w:drawing>
          <wp:inline distT="0" distB="0" distL="0" distR="0" wp14:anchorId="61753F05" wp14:editId="69FF90F5">
            <wp:extent cx="2040555" cy="2146433"/>
            <wp:effectExtent l="0" t="0" r="0" b="0"/>
            <wp:docPr id="137" name="Picture" descr="abstract head of person&#10;"/>
            <wp:cNvGraphicFramePr/>
            <a:graphic xmlns:a="http://schemas.openxmlformats.org/drawingml/2006/main">
              <a:graphicData uri="http://schemas.openxmlformats.org/drawingml/2006/picture">
                <pic:pic xmlns:pic="http://schemas.openxmlformats.org/drawingml/2006/picture">
                  <pic:nvPicPr>
                    <pic:cNvPr id="137" name="Picture" descr="abstract head of person&#10;"/>
                    <pic:cNvPicPr>
                      <a:picLocks noChangeAspect="1" noChangeArrowheads="1"/>
                    </pic:cNvPicPr>
                  </pic:nvPicPr>
                  <pic:blipFill>
                    <a:blip r:embed="rId8"/>
                    <a:stretch>
                      <a:fillRect/>
                    </a:stretch>
                  </pic:blipFill>
                  <pic:spPr bwMode="auto">
                    <a:xfrm>
                      <a:off x="0" y="0"/>
                      <a:ext cx="2040555" cy="2146433"/>
                    </a:xfrm>
                    <a:prstGeom prst="rect">
                      <a:avLst/>
                    </a:prstGeom>
                    <a:noFill/>
                    <a:ln w="9525">
                      <a:noFill/>
                      <a:headEnd/>
                      <a:tailEnd/>
                    </a:ln>
                  </pic:spPr>
                </pic:pic>
              </a:graphicData>
            </a:graphic>
          </wp:inline>
        </w:drawing>
      </w:r>
    </w:p>
    <w:p w14:paraId="0FD9328E" w14:textId="77777777" w:rsidR="00092A7E" w:rsidRDefault="00092A7E" w:rsidP="00092A7E">
      <w:pPr>
        <w:pStyle w:val="BodyText"/>
      </w:pPr>
      <w:r>
        <w:t>Traditional CRM workflows often require sales reps to manually enter customer information, update opportunity status, schedule follow-ups, and export data to create reports. AI assistants streamline these processes by listening to sales calls, automatically updating CRM records, analyzing conversation sentiment, scheduling follow-up activities, and generating real-time insights and recommendations. By connecting to CRM APIs, using natural language processing, and applying machine learning models, AI reduces manual data entry by 75 percent, improves data accuracy by 40 percent, and increases sales productivity by 25 percent.</w:t>
      </w:r>
    </w:p>
    <w:p w14:paraId="1A7538FF" w14:textId="77777777" w:rsidR="00092A7E" w:rsidRDefault="00092A7E" w:rsidP="00092A7E">
      <w:pPr>
        <w:pStyle w:val="Heading4"/>
      </w:pPr>
      <w:bookmarkStart w:id="35" w:name="Xd5410d8f8cb919667002d42bf1320ce18c3e575"/>
      <w:bookmarkEnd w:id="34"/>
      <w:r>
        <w:t>3.4.2.2 Financial Dashboards and Real-Time Analytics</w:t>
      </w:r>
    </w:p>
    <w:p w14:paraId="1E184616" w14:textId="77777777" w:rsidR="00092A7E" w:rsidRDefault="00092A7E" w:rsidP="00092A7E">
      <w:pPr>
        <w:pStyle w:val="FirstParagraph"/>
      </w:pPr>
      <w:r>
        <w:t>AI assistants provide real-time financial intelligence by connecting to accounting systems, bank APIs, and payment processors. They perform automated variance analysis, cash flow forecasting, expense categorization, and anomaly detection. The integration flow from AI assistant to accounting and banking APIs enables real-time dashboards showing cash position, pending receivables, expense trends, and profitability. Businesses gain daily financial insights instead of relying on monthly reports, achieve a 60 percent faster month-end closing process, and can proactively manage cash flow while automating compliance and audit preparation.</w:t>
      </w:r>
    </w:p>
    <w:p w14:paraId="24457D5B" w14:textId="77777777" w:rsidR="00092A7E" w:rsidRDefault="00092A7E" w:rsidP="00092A7E">
      <w:pPr>
        <w:pStyle w:val="Heading4"/>
      </w:pPr>
      <w:bookmarkStart w:id="36" w:name="automated-inventory-management"/>
      <w:bookmarkEnd w:id="35"/>
      <w:r>
        <w:t>3.4.2.3 Automated Inventory Management</w:t>
      </w:r>
    </w:p>
    <w:p w14:paraId="18E6CADA" w14:textId="77777777" w:rsidR="00092A7E" w:rsidRDefault="00092A7E" w:rsidP="00092A7E">
      <w:pPr>
        <w:pStyle w:val="FirstParagraph"/>
      </w:pPr>
      <w:r>
        <w:t xml:space="preserve">AI assistants optimize inventory by monitoring stock levels across locations, predicting demand, and managing reordering processes. Using sales history, seasonal trends, and market data, AI forecasts </w:t>
      </w:r>
      <w:proofErr w:type="gramStart"/>
      <w:r>
        <w:t>demand,</w:t>
      </w:r>
      <w:proofErr w:type="gramEnd"/>
      <w:r>
        <w:t xml:space="preserve"> triggers purchase orders at optimal reorder points, evaluates supplier options, and monitors product quality. By integrating warehouse management and procurement APIs, AI reduces stockouts by 30 percent, decreases excess inventory by 25 percent, and halves the time spent on manual ordering, while improving supplier performance through data-driven decision-making.</w:t>
      </w:r>
    </w:p>
    <w:p w14:paraId="6900C8E9" w14:textId="77777777" w:rsidR="00092A7E" w:rsidRDefault="00092A7E" w:rsidP="00092A7E">
      <w:pPr>
        <w:pStyle w:val="Heading4"/>
      </w:pPr>
      <w:bookmarkStart w:id="37" w:name="customer-support-integration"/>
      <w:bookmarkEnd w:id="36"/>
      <w:r>
        <w:t>3.4.2.4 Customer Support Integration</w:t>
      </w:r>
    </w:p>
    <w:p w14:paraId="5E2889EE" w14:textId="77777777" w:rsidR="00092A7E" w:rsidRDefault="00092A7E" w:rsidP="00092A7E">
      <w:pPr>
        <w:pStyle w:val="FirstParagraph"/>
      </w:pPr>
      <w:r>
        <w:t>Intelligent AI can automate customer service by accessing CRM records, product databases, order management systems, and support knowledge bases. When a customer submits a request, AI analyzes the query and customer history, categorizes and prioritizes tickets, provides initial responses, routes complex issues to humans, and updates records with resolution details. Advanced features include sentiment analysis to detect frustration, predictive support for potential issues, personalized communication, and cross-selling opportunities. This integration improves response times, enhances customer experience, and reduces manual workload for support teams.</w:t>
      </w:r>
    </w:p>
    <w:p w14:paraId="54404FE5" w14:textId="77777777" w:rsidR="00092A7E" w:rsidRDefault="00092A7E" w:rsidP="00092A7E">
      <w:pPr>
        <w:pStyle w:val="Heading3"/>
      </w:pPr>
      <w:bookmarkStart w:id="38" w:name="_Toc218514470"/>
      <w:bookmarkStart w:id="39" w:name="security-and-compliance-considerations"/>
      <w:bookmarkEnd w:id="33"/>
      <w:bookmarkEnd w:id="37"/>
      <w:r>
        <w:t>3.4.3 Security and Compliance Considerations</w:t>
      </w:r>
      <w:bookmarkEnd w:id="38"/>
    </w:p>
    <w:p w14:paraId="4245D544" w14:textId="77777777" w:rsidR="00092A7E" w:rsidRDefault="00092A7E" w:rsidP="00092A7E">
      <w:pPr>
        <w:pStyle w:val="FirstParagraph"/>
      </w:pPr>
      <w:r>
        <w:t>AI access to operational data requires strong security measures. All API connections should be encrypted, with role-based access controls and audit trails to track AI actions and decisions. Regular security assessments and updates are critical. Compliance with GDPR, SOX, HIPAA, PCI-DSS, and other industry-specific regulations must be maintained, along with clear data retention and deletion policies. Best practices include applying least-privilege access principles, monitoring AI activities continuously, documenting AI decision-making processes, and ensuring human oversight for high-stakes decisions.</w:t>
      </w:r>
    </w:p>
    <w:p w14:paraId="0C1359B6" w14:textId="77777777" w:rsidR="00092A7E" w:rsidRDefault="00092A7E" w:rsidP="00092A7E">
      <w:pPr>
        <w:pStyle w:val="BodyText"/>
      </w:pPr>
      <w:r>
        <w:t>Although AI assistants can access and manipulate operational data effectively, human oversight remains essential for decisions that involve significant financial impact, customer relationships, or ethical considerations. AI should augment, not replace, human judgment in critical business operations.</w:t>
      </w:r>
    </w:p>
    <w:p w14:paraId="5D6563F2" w14:textId="77777777" w:rsidR="00092A7E" w:rsidRDefault="00092A7E" w:rsidP="00092A7E">
      <w:pPr>
        <w:pStyle w:val="Heading2"/>
      </w:pPr>
      <w:bookmarkStart w:id="40" w:name="_Toc218514471"/>
      <w:bookmarkStart w:id="41" w:name="conclusion-2"/>
      <w:bookmarkEnd w:id="29"/>
      <w:bookmarkEnd w:id="39"/>
      <w:r>
        <w:t>3.5 Conclusion</w:t>
      </w:r>
      <w:bookmarkEnd w:id="40"/>
    </w:p>
    <w:p w14:paraId="15B82A09" w14:textId="77777777" w:rsidR="00092A7E" w:rsidRDefault="00092A7E" w:rsidP="00092A7E">
      <w:pPr>
        <w:pStyle w:val="FirstParagraph"/>
      </w:pPr>
      <w:r>
        <w:t xml:space="preserve">APIs have become the digital backbone of modern businesses, enabling seamless communication between systems and transforming manual, time-consuming processes into automated workflows that operate in seconds rather than hours. They allow organizations to respond more quickly to customers, markets, and operational challenges. Choosing the right integration </w:t>
      </w:r>
      <w:proofErr w:type="gramStart"/>
      <w:r>
        <w:t>approach—</w:t>
      </w:r>
      <w:proofErr w:type="gramEnd"/>
      <w:r>
        <w:t>whether point-to-point, hub-and-spoke, ESB, iPaaS, or event-driven architecture—depends on business size, technical capabilities, and growth plans, with simple solutions often providing the best balance of functionality and complexity for emerging organizations. Similarly, deciding between real-time and batch processing should be guided by business needs: real-time for customer-facing speed and batch for efficiency and cost-effectiveness, with many businesses successfully using both.</w:t>
      </w:r>
    </w:p>
    <w:p w14:paraId="55315D0E" w14:textId="77777777" w:rsidR="00092A7E" w:rsidRDefault="00092A7E" w:rsidP="00092A7E">
      <w:pPr>
        <w:pStyle w:val="BodyText"/>
      </w:pPr>
      <w:r>
        <w:t>The next evolution in integration involves AI-powered systems. AI assistants can analyze data across multiple systems, identify patterns, and trigger appropriate actions, enabling intelligent automation and proactive decision-making. Businesses progress along an integration maturity journey, beginning with manual processes prone to errors and slow response times, advancing through basic API connections and automated data flows, and ultimately reaching intelligent automation and adaptive systems that optimize themselves over time while facilitating seamless human-AI collaboration.</w:t>
      </w:r>
    </w:p>
    <w:p w14:paraId="61CBCE5B" w14:textId="77777777" w:rsidR="00092A7E" w:rsidRDefault="00092A7E" w:rsidP="00092A7E">
      <w:pPr>
        <w:pStyle w:val="BodyText"/>
      </w:pPr>
      <w:r>
        <w:t>Organizations can future-proof their integration strategies by beginning with business requirements, designing for scalable expansion, emphasizing security via robust authentication and encryption, and keeping human supervision so that AI supports rather than overtakes human decision-making. Emerging trends such as low-code/no-code integration, event-driven architectures, AI-native systems, and edge computing are shaping the next generation of responsive, intelligent operations.</w:t>
      </w:r>
    </w:p>
    <w:p w14:paraId="62B864F4" w14:textId="77777777" w:rsidR="00092A7E" w:rsidRDefault="00092A7E" w:rsidP="00092A7E">
      <w:pPr>
        <w:pStyle w:val="BodyText"/>
      </w:pPr>
      <w:r>
        <w:t>Building integration competency requires a combination of technical and business skills, including API literacy, data flow design, security awareness, and business process analysis. Practical steps for developing these skills include experimenting with simple API integrations using tools like Zapier or Microsoft Power Automate, mapping current or target data flows, practicing how to explain technical concepts in business terms, and staying current with evolving integration platforms and AI capabilities. By understanding APIs, integration strategies, and the role of AI, professionals can create more efficient, intelligent, and agile business systems that deliver measurable value and support long-term growth.</w:t>
      </w:r>
    </w:p>
    <w:bookmarkEnd w:id="41"/>
    <w:p w14:paraId="5705D40F" w14:textId="77777777" w:rsidR="00092A7E" w:rsidRDefault="00092A7E" w:rsidP="00092A7E">
      <w:pPr>
        <w:rPr>
          <w:rFonts w:asciiTheme="majorHAnsi" w:eastAsiaTheme="majorEastAsia" w:hAnsiTheme="majorHAnsi" w:cstheme="majorBidi"/>
          <w:color w:val="0F4761" w:themeColor="accent1" w:themeShade="BF"/>
          <w:sz w:val="40"/>
          <w:szCs w:val="40"/>
        </w:rPr>
      </w:pPr>
      <w:r>
        <w:br w:type="page"/>
      </w:r>
    </w:p>
    <w:p w14:paraId="0507556F" w14:textId="77777777" w:rsidR="00B11C5D" w:rsidRDefault="00B11C5D"/>
    <w:sectPr w:rsidR="00B11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A7E"/>
    <w:rsid w:val="00092A7E"/>
    <w:rsid w:val="002A076D"/>
    <w:rsid w:val="006B0CF0"/>
    <w:rsid w:val="00732953"/>
    <w:rsid w:val="00952C14"/>
    <w:rsid w:val="00A00DB7"/>
    <w:rsid w:val="00B11C5D"/>
    <w:rsid w:val="00C27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79F17"/>
  <w15:chartTrackingRefBased/>
  <w15:docId w15:val="{1FFC3519-1846-40E4-8818-87C39724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A7E"/>
    <w:pPr>
      <w:spacing w:after="200" w:line="240" w:lineRule="auto"/>
    </w:pPr>
    <w:rPr>
      <w:kern w:val="0"/>
      <w14:ligatures w14:val="none"/>
    </w:rPr>
  </w:style>
  <w:style w:type="paragraph" w:styleId="Heading1">
    <w:name w:val="heading 1"/>
    <w:basedOn w:val="Normal"/>
    <w:next w:val="Normal"/>
    <w:link w:val="Heading1Char"/>
    <w:uiPriority w:val="9"/>
    <w:qFormat/>
    <w:rsid w:val="00092A7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92A7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92A7E"/>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92A7E"/>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92A7E"/>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92A7E"/>
    <w:pPr>
      <w:keepNext/>
      <w:keepLines/>
      <w:spacing w:before="40" w:after="0" w:line="278"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92A7E"/>
    <w:pPr>
      <w:keepNext/>
      <w:keepLines/>
      <w:spacing w:before="40" w:after="0" w:line="278"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92A7E"/>
    <w:pPr>
      <w:keepNext/>
      <w:keepLines/>
      <w:spacing w:after="0" w:line="278"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92A7E"/>
    <w:pPr>
      <w:keepNext/>
      <w:keepLines/>
      <w:spacing w:after="0" w:line="278"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A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A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A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A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A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A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A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A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A7E"/>
    <w:rPr>
      <w:rFonts w:eastAsiaTheme="majorEastAsia" w:cstheme="majorBidi"/>
      <w:color w:val="272727" w:themeColor="text1" w:themeTint="D8"/>
    </w:rPr>
  </w:style>
  <w:style w:type="paragraph" w:styleId="Title">
    <w:name w:val="Title"/>
    <w:basedOn w:val="Normal"/>
    <w:next w:val="Normal"/>
    <w:link w:val="TitleChar"/>
    <w:uiPriority w:val="10"/>
    <w:qFormat/>
    <w:rsid w:val="00092A7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92A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A7E"/>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92A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A7E"/>
    <w:pPr>
      <w:spacing w:before="160" w:after="160" w:line="278"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092A7E"/>
    <w:rPr>
      <w:i/>
      <w:iCs/>
      <w:color w:val="404040" w:themeColor="text1" w:themeTint="BF"/>
    </w:rPr>
  </w:style>
  <w:style w:type="paragraph" w:styleId="ListParagraph">
    <w:name w:val="List Paragraph"/>
    <w:basedOn w:val="Normal"/>
    <w:uiPriority w:val="34"/>
    <w:qFormat/>
    <w:rsid w:val="00092A7E"/>
    <w:pPr>
      <w:spacing w:after="160" w:line="278" w:lineRule="auto"/>
      <w:ind w:left="720"/>
      <w:contextualSpacing/>
    </w:pPr>
    <w:rPr>
      <w:kern w:val="2"/>
      <w14:ligatures w14:val="standardContextual"/>
    </w:rPr>
  </w:style>
  <w:style w:type="character" w:styleId="IntenseEmphasis">
    <w:name w:val="Intense Emphasis"/>
    <w:basedOn w:val="DefaultParagraphFont"/>
    <w:uiPriority w:val="21"/>
    <w:qFormat/>
    <w:rsid w:val="00092A7E"/>
    <w:rPr>
      <w:i/>
      <w:iCs/>
      <w:color w:val="0F4761" w:themeColor="accent1" w:themeShade="BF"/>
    </w:rPr>
  </w:style>
  <w:style w:type="paragraph" w:styleId="IntenseQuote">
    <w:name w:val="Intense Quote"/>
    <w:basedOn w:val="Normal"/>
    <w:next w:val="Normal"/>
    <w:link w:val="IntenseQuoteChar"/>
    <w:uiPriority w:val="30"/>
    <w:qFormat/>
    <w:rsid w:val="00092A7E"/>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092A7E"/>
    <w:rPr>
      <w:i/>
      <w:iCs/>
      <w:color w:val="0F4761" w:themeColor="accent1" w:themeShade="BF"/>
    </w:rPr>
  </w:style>
  <w:style w:type="character" w:styleId="IntenseReference">
    <w:name w:val="Intense Reference"/>
    <w:basedOn w:val="DefaultParagraphFont"/>
    <w:uiPriority w:val="32"/>
    <w:qFormat/>
    <w:rsid w:val="00092A7E"/>
    <w:rPr>
      <w:b/>
      <w:bCs/>
      <w:smallCaps/>
      <w:color w:val="0F4761" w:themeColor="accent1" w:themeShade="BF"/>
      <w:spacing w:val="5"/>
    </w:rPr>
  </w:style>
  <w:style w:type="paragraph" w:styleId="BodyText">
    <w:name w:val="Body Text"/>
    <w:basedOn w:val="Normal"/>
    <w:link w:val="BodyTextChar"/>
    <w:qFormat/>
    <w:rsid w:val="00092A7E"/>
    <w:pPr>
      <w:spacing w:before="180" w:after="180"/>
    </w:pPr>
  </w:style>
  <w:style w:type="character" w:customStyle="1" w:styleId="BodyTextChar">
    <w:name w:val="Body Text Char"/>
    <w:basedOn w:val="DefaultParagraphFont"/>
    <w:link w:val="BodyText"/>
    <w:rsid w:val="00092A7E"/>
    <w:rPr>
      <w:kern w:val="0"/>
      <w14:ligatures w14:val="none"/>
    </w:rPr>
  </w:style>
  <w:style w:type="paragraph" w:customStyle="1" w:styleId="FirstParagraph">
    <w:name w:val="First Paragraph"/>
    <w:basedOn w:val="BodyText"/>
    <w:next w:val="BodyText"/>
    <w:qFormat/>
    <w:rsid w:val="00092A7E"/>
  </w:style>
  <w:style w:type="paragraph" w:customStyle="1" w:styleId="Compact">
    <w:name w:val="Compact"/>
    <w:basedOn w:val="BodyText"/>
    <w:qFormat/>
    <w:rsid w:val="00092A7E"/>
    <w:pPr>
      <w:spacing w:before="36" w:after="36"/>
    </w:pPr>
  </w:style>
  <w:style w:type="table" w:customStyle="1" w:styleId="Table">
    <w:name w:val="Table"/>
    <w:semiHidden/>
    <w:unhideWhenUsed/>
    <w:qFormat/>
    <w:rsid w:val="00092A7E"/>
    <w:pPr>
      <w:spacing w:after="200" w:line="240" w:lineRule="auto"/>
    </w:pPr>
    <w:rPr>
      <w:kern w:val="0"/>
      <w14:ligatures w14:val="none"/>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ImageCaption">
    <w:name w:val="Image Caption"/>
    <w:basedOn w:val="Caption"/>
    <w:rsid w:val="00092A7E"/>
    <w:pPr>
      <w:spacing w:after="120"/>
    </w:pPr>
    <w:rPr>
      <w:iCs w:val="0"/>
      <w:color w:val="auto"/>
      <w:sz w:val="24"/>
      <w:szCs w:val="24"/>
    </w:rPr>
  </w:style>
  <w:style w:type="paragraph" w:styleId="Caption">
    <w:name w:val="caption"/>
    <w:basedOn w:val="Normal"/>
    <w:next w:val="Normal"/>
    <w:uiPriority w:val="35"/>
    <w:semiHidden/>
    <w:unhideWhenUsed/>
    <w:qFormat/>
    <w:rsid w:val="00092A7E"/>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4381</Words>
  <Characters>19718</Characters>
  <Application>Microsoft Office Word</Application>
  <DocSecurity>0</DocSecurity>
  <Lines>730</Lines>
  <Paragraphs>860</Paragraphs>
  <ScaleCrop>false</ScaleCrop>
  <Company/>
  <LinksUpToDate>false</LinksUpToDate>
  <CharactersWithSpaces>23239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1</cp:revision>
  <dcterms:created xsi:type="dcterms:W3CDTF">2026-02-21T00:20:00Z</dcterms:created>
  <dcterms:modified xsi:type="dcterms:W3CDTF">2026-02-21T00:20:00Z</dcterms:modified>
</cp:coreProperties>
</file>