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19AD4" w14:textId="77777777" w:rsidR="00161B9C" w:rsidRDefault="00161B9C" w:rsidP="00161B9C">
      <w:pPr>
        <w:pStyle w:val="Heading1"/>
      </w:pPr>
      <w:bookmarkStart w:id="0" w:name="_Toc218514435"/>
      <w:r>
        <w:t>2. AI Assistants and Copilots</w:t>
      </w:r>
      <w:bookmarkEnd w:id="0"/>
    </w:p>
    <w:p w14:paraId="001D9E32" w14:textId="77777777" w:rsidR="00161B9C" w:rsidRDefault="00161B9C" w:rsidP="00161B9C">
      <w:pPr>
        <w:pStyle w:val="Heading2"/>
      </w:pPr>
      <w:bookmarkStart w:id="1" w:name="_Toc218514436"/>
      <w:bookmarkStart w:id="2" w:name="introduction-1"/>
      <w:r>
        <w:t>2.1 Introduction</w:t>
      </w:r>
      <w:bookmarkEnd w:id="1"/>
    </w:p>
    <w:p w14:paraId="0B4A9C37" w14:textId="77777777" w:rsidR="00161B9C" w:rsidRDefault="00161B9C" w:rsidP="00161B9C">
      <w:pPr>
        <w:pStyle w:val="FirstParagraph"/>
      </w:pPr>
      <w:r>
        <w:rPr>
          <w:noProof/>
        </w:rPr>
        <w:drawing>
          <wp:inline distT="0" distB="0" distL="0" distR="0" wp14:anchorId="4103D32F" wp14:editId="4AC989AA">
            <wp:extent cx="2619375" cy="2409825"/>
            <wp:effectExtent l="0" t="0" r="0" b="0"/>
            <wp:docPr id="71" name="Picture" descr="A computer screen and a cup of coffee &#10;"/>
            <wp:cNvGraphicFramePr/>
            <a:graphic xmlns:a="http://schemas.openxmlformats.org/drawingml/2006/main">
              <a:graphicData uri="http://schemas.openxmlformats.org/drawingml/2006/picture">
                <pic:pic xmlns:pic="http://schemas.openxmlformats.org/drawingml/2006/picture">
                  <pic:nvPicPr>
                    <pic:cNvPr id="71" name="Picture" descr="A computer screen and a cup of coffee &#10;"/>
                    <pic:cNvPicPr>
                      <a:picLocks noChangeAspect="1" noChangeArrowheads="1"/>
                    </pic:cNvPicPr>
                  </pic:nvPicPr>
                  <pic:blipFill>
                    <a:blip r:embed="rId4"/>
                    <a:stretch>
                      <a:fillRect/>
                    </a:stretch>
                  </pic:blipFill>
                  <pic:spPr bwMode="auto">
                    <a:xfrm>
                      <a:off x="0" y="0"/>
                      <a:ext cx="2619599" cy="2410031"/>
                    </a:xfrm>
                    <a:prstGeom prst="rect">
                      <a:avLst/>
                    </a:prstGeom>
                    <a:noFill/>
                    <a:ln w="9525">
                      <a:noFill/>
                      <a:headEnd/>
                      <a:tailEnd/>
                    </a:ln>
                  </pic:spPr>
                </pic:pic>
              </a:graphicData>
            </a:graphic>
          </wp:inline>
        </w:drawing>
      </w:r>
    </w:p>
    <w:p w14:paraId="4857985D" w14:textId="77777777" w:rsidR="00161B9C" w:rsidRDefault="00161B9C" w:rsidP="00161B9C">
      <w:pPr>
        <w:pStyle w:val="BodyText"/>
      </w:pPr>
      <w:r>
        <w:t>Imagine starting your workday by asking an AI assistant to summarize yesterday’s meeting notes, draft a follow-up email, and create a project timeline – all while you grab your morning coffee. This isn’t science fiction; it’s how millions of professionals already work with AI assistants in 2025.</w:t>
      </w:r>
    </w:p>
    <w:p w14:paraId="637CFA58" w14:textId="77777777" w:rsidR="00161B9C" w:rsidRDefault="00161B9C" w:rsidP="00161B9C">
      <w:pPr>
        <w:pStyle w:val="BodyText"/>
      </w:pPr>
      <w:r>
        <w:t>AI assistants and copilots represent a fundamental shift from traditional software tools. Instead of learning complex menus and commands, you can simply describe what you need in plain English. These intelligent partners can write code, create presentations, analyze data, and even help you brainstorm solutions to complex problems.</w:t>
      </w:r>
    </w:p>
    <w:p w14:paraId="4C9CF954" w14:textId="77777777" w:rsidR="00161B9C" w:rsidRDefault="00161B9C" w:rsidP="00161B9C">
      <w:pPr>
        <w:pStyle w:val="BodyText"/>
      </w:pPr>
      <w:r>
        <w:t>The impact has been remarkable. Companies using AI assistants report that employees save 2-3 hours per day on routine tasks, while developers using GitHub Copilot complete coding tasks 55% faster. But AI assistants aren’t just about speed – they’re about augmenting human capabilities rather than replacing them.</w:t>
      </w:r>
    </w:p>
    <w:p w14:paraId="3D15F2EB" w14:textId="77777777" w:rsidR="00161B9C" w:rsidRDefault="00161B9C" w:rsidP="00161B9C">
      <w:pPr>
        <w:pStyle w:val="BodyText"/>
      </w:pPr>
      <w:r>
        <w:t>This chapter will help you understand how AI assistants work, when to use them effectively, and how to integrate them into professional workflows. We’ll explore real-world applications and learn to recognize when human judgment should take precedence over AI recommendations.</w:t>
      </w:r>
    </w:p>
    <w:p w14:paraId="0E14EE53" w14:textId="77777777" w:rsidR="00161B9C" w:rsidRDefault="00161B9C" w:rsidP="00161B9C">
      <w:pPr>
        <w:pStyle w:val="Heading2"/>
      </w:pPr>
      <w:bookmarkStart w:id="3" w:name="_Toc218514437"/>
      <w:bookmarkStart w:id="4" w:name="understanding-ai-assistants-and-copilots"/>
      <w:bookmarkEnd w:id="2"/>
      <w:r>
        <w:t>2.2 Understanding AI Assistants and Copilots</w:t>
      </w:r>
      <w:bookmarkEnd w:id="3"/>
    </w:p>
    <w:p w14:paraId="5407AE88" w14:textId="77777777" w:rsidR="00161B9C" w:rsidRDefault="00161B9C" w:rsidP="00161B9C">
      <w:pPr>
        <w:pStyle w:val="Heading3"/>
      </w:pPr>
      <w:bookmarkStart w:id="5" w:name="_Toc218514438"/>
      <w:bookmarkStart w:id="6" w:name="what-makes-ai-assistants-different"/>
      <w:r>
        <w:t>2.2.1 What Makes AI Assistants Different</w:t>
      </w:r>
      <w:bookmarkEnd w:id="5"/>
    </w:p>
    <w:p w14:paraId="45BF8314" w14:textId="77777777" w:rsidR="00161B9C" w:rsidRDefault="00161B9C" w:rsidP="00161B9C">
      <w:pPr>
        <w:pStyle w:val="FirstParagraph"/>
      </w:pPr>
      <w:r>
        <w:rPr>
          <w:noProof/>
        </w:rPr>
        <w:drawing>
          <wp:inline distT="0" distB="0" distL="0" distR="0" wp14:anchorId="30B32590" wp14:editId="63B4C0E1">
            <wp:extent cx="5495925" cy="2495550"/>
            <wp:effectExtent l="0" t="0" r="0" b="0"/>
            <wp:docPr id="75" name="Picture" descr="A comparison between traditional software vs ai assistance as discussed in text&#10;"/>
            <wp:cNvGraphicFramePr/>
            <a:graphic xmlns:a="http://schemas.openxmlformats.org/drawingml/2006/main">
              <a:graphicData uri="http://schemas.openxmlformats.org/drawingml/2006/picture">
                <pic:pic xmlns:pic="http://schemas.openxmlformats.org/drawingml/2006/picture">
                  <pic:nvPicPr>
                    <pic:cNvPr id="75" name="Picture" descr="A comparison between traditional software vs ai assistance as discussed in text&#10;"/>
                    <pic:cNvPicPr>
                      <a:picLocks noChangeAspect="1" noChangeArrowheads="1"/>
                    </pic:cNvPicPr>
                  </pic:nvPicPr>
                  <pic:blipFill>
                    <a:blip r:embed="rId5"/>
                    <a:stretch>
                      <a:fillRect/>
                    </a:stretch>
                  </pic:blipFill>
                  <pic:spPr bwMode="auto">
                    <a:xfrm>
                      <a:off x="0" y="0"/>
                      <a:ext cx="5496757" cy="2495928"/>
                    </a:xfrm>
                    <a:prstGeom prst="rect">
                      <a:avLst/>
                    </a:prstGeom>
                    <a:noFill/>
                    <a:ln w="9525">
                      <a:noFill/>
                      <a:headEnd/>
                      <a:tailEnd/>
                    </a:ln>
                  </pic:spPr>
                </pic:pic>
              </a:graphicData>
            </a:graphic>
          </wp:inline>
        </w:drawing>
      </w:r>
    </w:p>
    <w:p w14:paraId="5F1470C7" w14:textId="77777777" w:rsidR="00161B9C" w:rsidRDefault="00161B9C" w:rsidP="00161B9C">
      <w:pPr>
        <w:pStyle w:val="BodyText"/>
      </w:pPr>
      <w:r>
        <w:t>AI assistants represent a new category of software that fundamentally changes how we interact with technology. Traditional software requires you to learn its language – specific commands, menu structures, and workflows. AI assistants flip this relationship: they learn to understand your language and adapt to your working style.</w:t>
      </w:r>
    </w:p>
    <w:p w14:paraId="2E376C51" w14:textId="77777777" w:rsidR="00161B9C" w:rsidRDefault="00161B9C" w:rsidP="00161B9C">
      <w:pPr>
        <w:pStyle w:val="BodyText"/>
      </w:pPr>
      <w:r>
        <w:t>Think of the difference between using a traditional spreadsheet program and asking an AI assistant for help with data analysis. With traditional software, you need to know formulas, functions, and formatting commands. With an AI assistant, you can simply say, “Help me find trends in this sales data and create a chart showing the results.”</w:t>
      </w:r>
    </w:p>
    <w:p w14:paraId="1F433A17" w14:textId="77777777" w:rsidR="00161B9C" w:rsidRDefault="00161B9C" w:rsidP="00161B9C">
      <w:pPr>
        <w:pStyle w:val="Heading3"/>
      </w:pPr>
      <w:bookmarkStart w:id="7" w:name="_Toc218514439"/>
      <w:bookmarkStart w:id="8" w:name="the-three-types-of-ai-work-partners"/>
      <w:bookmarkEnd w:id="6"/>
      <w:r>
        <w:t>2.2.2 The Three Types of AI Work Partners</w:t>
      </w:r>
      <w:bookmarkEnd w:id="7"/>
    </w:p>
    <w:p w14:paraId="711855F3" w14:textId="77777777" w:rsidR="00161B9C" w:rsidRDefault="00161B9C" w:rsidP="00161B9C">
      <w:pPr>
        <w:pStyle w:val="FirstParagraph"/>
      </w:pPr>
      <w:r>
        <w:rPr>
          <w:noProof/>
        </w:rPr>
        <w:drawing>
          <wp:inline distT="0" distB="0" distL="0" distR="0" wp14:anchorId="28586117" wp14:editId="619171AA">
            <wp:extent cx="5067300" cy="5183686"/>
            <wp:effectExtent l="0" t="0" r="0" b="0"/>
            <wp:docPr id="79" name="Picture" descr="Three types of AI work partners in 3 bubbles. 1. General Asisstants,2. Specialized copilots and 3. Workflow assistants&#10;"/>
            <wp:cNvGraphicFramePr/>
            <a:graphic xmlns:a="http://schemas.openxmlformats.org/drawingml/2006/main">
              <a:graphicData uri="http://schemas.openxmlformats.org/drawingml/2006/picture">
                <pic:pic xmlns:pic="http://schemas.openxmlformats.org/drawingml/2006/picture">
                  <pic:nvPicPr>
                    <pic:cNvPr id="79" name="Picture" descr="Three types of AI work partners in 3 bubbles. 1. General Asisstants,2. Specialized copilots and 3. Workflow assistants&#10;"/>
                    <pic:cNvPicPr>
                      <a:picLocks noChangeAspect="1" noChangeArrowheads="1"/>
                    </pic:cNvPicPr>
                  </pic:nvPicPr>
                  <pic:blipFill>
                    <a:blip r:embed="rId6"/>
                    <a:stretch>
                      <a:fillRect/>
                    </a:stretch>
                  </pic:blipFill>
                  <pic:spPr bwMode="auto">
                    <a:xfrm>
                      <a:off x="0" y="0"/>
                      <a:ext cx="5067300" cy="5183686"/>
                    </a:xfrm>
                    <a:prstGeom prst="rect">
                      <a:avLst/>
                    </a:prstGeom>
                    <a:noFill/>
                    <a:ln w="9525">
                      <a:noFill/>
                      <a:headEnd/>
                      <a:tailEnd/>
                    </a:ln>
                  </pic:spPr>
                </pic:pic>
              </a:graphicData>
            </a:graphic>
          </wp:inline>
        </w:drawing>
      </w:r>
    </w:p>
    <w:p w14:paraId="4DA64410" w14:textId="77777777" w:rsidR="00161B9C" w:rsidRDefault="00161B9C" w:rsidP="00161B9C">
      <w:pPr>
        <w:pStyle w:val="BodyText"/>
      </w:pPr>
      <w:r>
        <w:t>AI work partners can be categorized into three main types, each serving distinct purposes. General assistants, such as ChatGPT, Claude, and Gemini, handle diverse tasks across multiple domains and are best suited for writing, research, and brainstorming. Specialized copilots are integrated into specific software platforms, with examples including GitHub Copilot and Microsoft 365 Copilot, making them ideal for code development or document creation within those environments. Workflow assistants, such as Zapier AI and Microsoft Power Platform, focus on automating business processes and integrating systems to streamline repetitive tasks. A key insight is that AI assistants excel at understanding context and maintaining conversation memory within a session, which allows them to function more like collaborative partners than traditional tools.</w:t>
      </w:r>
    </w:p>
    <w:p w14:paraId="7E8DEC28" w14:textId="77777777" w:rsidR="00161B9C" w:rsidRDefault="00161B9C" w:rsidP="00161B9C">
      <w:pPr>
        <w:pStyle w:val="Heading3"/>
      </w:pPr>
      <w:bookmarkStart w:id="9" w:name="_Toc218514440"/>
      <w:bookmarkStart w:id="10" w:name="how-ai-assistants-learn-and-adapt"/>
      <w:bookmarkEnd w:id="8"/>
      <w:r>
        <w:t>2.2.3 How AI Assistants Learn and Adapt</w:t>
      </w:r>
      <w:bookmarkEnd w:id="9"/>
    </w:p>
    <w:p w14:paraId="25A9AC46" w14:textId="77777777" w:rsidR="00161B9C" w:rsidRDefault="00161B9C" w:rsidP="00161B9C">
      <w:pPr>
        <w:pStyle w:val="FirstParagraph"/>
      </w:pPr>
      <w:r>
        <w:t>Unlike traditional software that follows fixed programming, AI assistants use machine learning to understand context, remember user preferences, and improve their responses over time. In practice, this means that when you ask an AI assistant to “make this email more professional,” it can analyze the tone, content, and purpose to provide suitable suggestions. AI assistants also retain conversation memory within a session, so follow-up questions—such as those related to a marketing campaign—maintain awareness of your industry, goals, and previous inputs. Additionally, by learning from millions of examples, AI assistants recognize common work patterns and offer realistic solutions, making them more effective collaborators than conventional software tools.</w:t>
      </w:r>
    </w:p>
    <w:p w14:paraId="7942C913" w14:textId="77777777" w:rsidR="00161B9C" w:rsidRDefault="00161B9C" w:rsidP="00161B9C">
      <w:pPr>
        <w:pStyle w:val="Heading3"/>
      </w:pPr>
      <w:bookmarkStart w:id="11" w:name="_Toc218514441"/>
      <w:bookmarkStart w:id="12" w:name="current-capabilities-and-limitations"/>
      <w:bookmarkEnd w:id="10"/>
      <w:r>
        <w:t>2.2.4 Current Capabilities and Limitations</w:t>
      </w:r>
      <w:bookmarkEnd w:id="11"/>
    </w:p>
    <w:p w14:paraId="1228E154" w14:textId="77777777" w:rsidR="00161B9C" w:rsidRDefault="00161B9C" w:rsidP="00161B9C">
      <w:pPr>
        <w:pStyle w:val="FirstParagraph"/>
      </w:pPr>
      <w:r>
        <w:t>AI assistants excel at generating first drafts of written content, analyzing and summarizing large amounts of information, providing step-by-step guidance for complex tasks, and offering multiple perspectives on problems. Despite these strengths, they also have notable limitations. AI assistants cannot access real-time information unless specifically designed to do so, may produce plausible sounding but incorrect outputs, lack a true understanding of business context and interpersonal relationships, and require human oversight for important decisions. When considering the use of AI in a workday, it is useful to reflect on which tasks might benefit from AI assistance versus those that demand primarily human judgment. For example, tasks that are repetitive, structured, or data-driven are often suitable for AI support, whereas tasks involving nuanced decision-making, ethical considerations, or deep contextual understanding generally require human expertise.</w:t>
      </w:r>
    </w:p>
    <w:p w14:paraId="45591E12" w14:textId="77777777" w:rsidR="00161B9C" w:rsidRDefault="00161B9C" w:rsidP="00161B9C">
      <w:pPr>
        <w:pStyle w:val="Heading2"/>
      </w:pPr>
      <w:bookmarkStart w:id="13" w:name="_Toc218514442"/>
      <w:bookmarkStart w:id="14" w:name="ai-assistance-vs.-human-judgment"/>
      <w:bookmarkEnd w:id="4"/>
      <w:bookmarkEnd w:id="12"/>
      <w:r>
        <w:t>2.3 AI Assistance vs. Human Judgment</w:t>
      </w:r>
      <w:bookmarkEnd w:id="13"/>
    </w:p>
    <w:tbl>
      <w:tblPr>
        <w:tblStyle w:val="Table"/>
        <w:tblW w:w="5000" w:type="pct"/>
        <w:tblLayout w:type="fixed"/>
        <w:tblLook w:val="0000" w:firstRow="0" w:lastRow="0" w:firstColumn="0" w:lastColumn="0" w:noHBand="0" w:noVBand="0"/>
      </w:tblPr>
      <w:tblGrid>
        <w:gridCol w:w="9360"/>
      </w:tblGrid>
      <w:tr w:rsidR="00161B9C" w14:paraId="6050083B" w14:textId="77777777" w:rsidTr="00C87320">
        <w:tc>
          <w:tcPr>
            <w:tcW w:w="7920" w:type="dxa"/>
          </w:tcPr>
          <w:p w14:paraId="06E3681E" w14:textId="77777777" w:rsidR="00161B9C" w:rsidRDefault="00161B9C" w:rsidP="00C87320">
            <w:pPr>
              <w:pStyle w:val="ImageCaption"/>
              <w:spacing w:before="200"/>
            </w:pPr>
            <w:bookmarkStart w:id="15" w:name="tbl-ai-vs-human"/>
            <w:r>
              <w:t>Table 2.1: Factors Influencing AI Assistance vs. Human Judgment</w:t>
            </w:r>
          </w:p>
          <w:tbl>
            <w:tblPr>
              <w:tblStyle w:val="Table"/>
              <w:tblW w:w="5000" w:type="pct"/>
              <w:tblLayout w:type="fixed"/>
              <w:tblLook w:val="0020" w:firstRow="1" w:lastRow="0" w:firstColumn="0" w:lastColumn="0" w:noHBand="0" w:noVBand="0"/>
            </w:tblPr>
            <w:tblGrid>
              <w:gridCol w:w="780"/>
              <w:gridCol w:w="4299"/>
              <w:gridCol w:w="4065"/>
            </w:tblGrid>
            <w:tr w:rsidR="00161B9C" w14:paraId="4B967556"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676" w:type="dxa"/>
                </w:tcPr>
                <w:p w14:paraId="5D1DF6A0" w14:textId="77777777" w:rsidR="00161B9C" w:rsidRDefault="00161B9C" w:rsidP="00C87320">
                  <w:pPr>
                    <w:pStyle w:val="Compact"/>
                    <w:jc w:val="center"/>
                  </w:pPr>
                  <w:r>
                    <w:t>Factor</w:t>
                  </w:r>
                </w:p>
              </w:tc>
              <w:tc>
                <w:tcPr>
                  <w:tcW w:w="3723" w:type="dxa"/>
                </w:tcPr>
                <w:p w14:paraId="618B4D03" w14:textId="77777777" w:rsidR="00161B9C" w:rsidRDefault="00161B9C" w:rsidP="00C87320">
                  <w:pPr>
                    <w:pStyle w:val="Compact"/>
                    <w:jc w:val="center"/>
                  </w:pPr>
                  <w:r>
                    <w:t>AI Assistance</w:t>
                  </w:r>
                </w:p>
              </w:tc>
              <w:tc>
                <w:tcPr>
                  <w:tcW w:w="3520" w:type="dxa"/>
                </w:tcPr>
                <w:p w14:paraId="381653B7" w14:textId="77777777" w:rsidR="00161B9C" w:rsidRDefault="00161B9C" w:rsidP="00C87320">
                  <w:pPr>
                    <w:pStyle w:val="Compact"/>
                    <w:jc w:val="center"/>
                  </w:pPr>
                  <w:r>
                    <w:t>Human Judgment</w:t>
                  </w:r>
                </w:p>
              </w:tc>
            </w:tr>
            <w:tr w:rsidR="00161B9C" w14:paraId="24999134" w14:textId="77777777" w:rsidTr="00C87320">
              <w:tc>
                <w:tcPr>
                  <w:tcW w:w="676" w:type="dxa"/>
                </w:tcPr>
                <w:p w14:paraId="6620469F" w14:textId="77777777" w:rsidR="00161B9C" w:rsidRDefault="00161B9C" w:rsidP="00C87320">
                  <w:pPr>
                    <w:pStyle w:val="Compact"/>
                    <w:jc w:val="center"/>
                  </w:pPr>
                  <w:r>
                    <w:t>Task type</w:t>
                  </w:r>
                </w:p>
              </w:tc>
              <w:tc>
                <w:tcPr>
                  <w:tcW w:w="3723" w:type="dxa"/>
                </w:tcPr>
                <w:p w14:paraId="7F422E8E" w14:textId="77777777" w:rsidR="00161B9C" w:rsidRDefault="00161B9C" w:rsidP="00C87320">
                  <w:pPr>
                    <w:pStyle w:val="Compact"/>
                    <w:jc w:val="center"/>
                  </w:pPr>
                  <w:r>
                    <w:t>Routine, pattern-based, well-defined</w:t>
                  </w:r>
                </w:p>
              </w:tc>
              <w:tc>
                <w:tcPr>
                  <w:tcW w:w="3520" w:type="dxa"/>
                </w:tcPr>
                <w:p w14:paraId="2900F3E6" w14:textId="77777777" w:rsidR="00161B9C" w:rsidRDefault="00161B9C" w:rsidP="00C87320">
                  <w:pPr>
                    <w:pStyle w:val="Compact"/>
                    <w:jc w:val="center"/>
                  </w:pPr>
                  <w:r>
                    <w:t>Creative, strategic, relationship-sensitive</w:t>
                  </w:r>
                </w:p>
              </w:tc>
            </w:tr>
            <w:tr w:rsidR="00161B9C" w14:paraId="08D998BC" w14:textId="77777777" w:rsidTr="00C87320">
              <w:tc>
                <w:tcPr>
                  <w:tcW w:w="676" w:type="dxa"/>
                </w:tcPr>
                <w:p w14:paraId="326438C8" w14:textId="77777777" w:rsidR="00161B9C" w:rsidRDefault="00161B9C" w:rsidP="00C87320">
                  <w:pPr>
                    <w:pStyle w:val="Compact"/>
                    <w:jc w:val="center"/>
                  </w:pPr>
                  <w:r>
                    <w:t>Stakes</w:t>
                  </w:r>
                </w:p>
              </w:tc>
              <w:tc>
                <w:tcPr>
                  <w:tcW w:w="3723" w:type="dxa"/>
                </w:tcPr>
                <w:p w14:paraId="49E30FAC" w14:textId="77777777" w:rsidR="00161B9C" w:rsidRDefault="00161B9C" w:rsidP="00C87320">
                  <w:pPr>
                    <w:pStyle w:val="Compact"/>
                    <w:jc w:val="center"/>
                  </w:pPr>
                  <w:r>
                    <w:t>Low to medium risk, reversible</w:t>
                  </w:r>
                </w:p>
              </w:tc>
              <w:tc>
                <w:tcPr>
                  <w:tcW w:w="3520" w:type="dxa"/>
                </w:tcPr>
                <w:p w14:paraId="26DD0A1C" w14:textId="77777777" w:rsidR="00161B9C" w:rsidRDefault="00161B9C" w:rsidP="00C87320">
                  <w:pPr>
                    <w:pStyle w:val="Compact"/>
                    <w:jc w:val="center"/>
                  </w:pPr>
                  <w:r>
                    <w:t>High stakes, irreversible, ethical implications</w:t>
                  </w:r>
                </w:p>
              </w:tc>
            </w:tr>
            <w:tr w:rsidR="00161B9C" w14:paraId="1E7FA75B" w14:textId="77777777" w:rsidTr="00C87320">
              <w:tc>
                <w:tcPr>
                  <w:tcW w:w="676" w:type="dxa"/>
                </w:tcPr>
                <w:p w14:paraId="1EC51F7E" w14:textId="77777777" w:rsidR="00161B9C" w:rsidRDefault="00161B9C" w:rsidP="00C87320">
                  <w:pPr>
                    <w:pStyle w:val="Compact"/>
                    <w:jc w:val="center"/>
                  </w:pPr>
                  <w:r>
                    <w:t>Data</w:t>
                  </w:r>
                </w:p>
              </w:tc>
              <w:tc>
                <w:tcPr>
                  <w:tcW w:w="3723" w:type="dxa"/>
                </w:tcPr>
                <w:p w14:paraId="0B55EB49" w14:textId="77777777" w:rsidR="00161B9C" w:rsidRDefault="00161B9C" w:rsidP="00C87320">
                  <w:pPr>
                    <w:pStyle w:val="Compact"/>
                    <w:jc w:val="center"/>
                  </w:pPr>
                  <w:r>
                    <w:t>Sufficient historical patterns</w:t>
                  </w:r>
                </w:p>
              </w:tc>
              <w:tc>
                <w:tcPr>
                  <w:tcW w:w="3520" w:type="dxa"/>
                </w:tcPr>
                <w:p w14:paraId="7A300012" w14:textId="77777777" w:rsidR="00161B9C" w:rsidRDefault="00161B9C" w:rsidP="00C87320">
                  <w:pPr>
                    <w:pStyle w:val="Compact"/>
                    <w:jc w:val="center"/>
                  </w:pPr>
                  <w:r>
                    <w:t>Limited data, unprecedented situations</w:t>
                  </w:r>
                </w:p>
              </w:tc>
            </w:tr>
            <w:tr w:rsidR="00161B9C" w14:paraId="020C1DEF" w14:textId="77777777" w:rsidTr="00C87320">
              <w:tc>
                <w:tcPr>
                  <w:tcW w:w="676" w:type="dxa"/>
                </w:tcPr>
                <w:p w14:paraId="2244086E" w14:textId="77777777" w:rsidR="00161B9C" w:rsidRDefault="00161B9C" w:rsidP="00C87320">
                  <w:pPr>
                    <w:pStyle w:val="Compact"/>
                    <w:jc w:val="center"/>
                  </w:pPr>
                  <w:r>
                    <w:t>Context</w:t>
                  </w:r>
                </w:p>
              </w:tc>
              <w:tc>
                <w:tcPr>
                  <w:tcW w:w="3723" w:type="dxa"/>
                </w:tcPr>
                <w:p w14:paraId="27042A8C" w14:textId="77777777" w:rsidR="00161B9C" w:rsidRDefault="00161B9C" w:rsidP="00C87320">
                  <w:pPr>
                    <w:pStyle w:val="Compact"/>
                    <w:jc w:val="center"/>
                  </w:pPr>
                  <w:r>
                    <w:t>Straightforward, objective criteria</w:t>
                  </w:r>
                </w:p>
              </w:tc>
              <w:tc>
                <w:tcPr>
                  <w:tcW w:w="3520" w:type="dxa"/>
                </w:tcPr>
                <w:p w14:paraId="65E0F461" w14:textId="77777777" w:rsidR="00161B9C" w:rsidRDefault="00161B9C" w:rsidP="00C87320">
                  <w:pPr>
                    <w:pStyle w:val="Compact"/>
                    <w:jc w:val="center"/>
                  </w:pPr>
                  <w:r>
                    <w:t>Complex interpersonal or cultural factors</w:t>
                  </w:r>
                </w:p>
              </w:tc>
            </w:tr>
            <w:bookmarkEnd w:id="15"/>
          </w:tbl>
          <w:p w14:paraId="25E5147F" w14:textId="77777777" w:rsidR="00161B9C" w:rsidRDefault="00161B9C" w:rsidP="00C87320"/>
        </w:tc>
      </w:tr>
    </w:tbl>
    <w:p w14:paraId="7958A3D6" w14:textId="77777777" w:rsidR="00161B9C" w:rsidRDefault="00161B9C" w:rsidP="00161B9C">
      <w:pPr>
        <w:pStyle w:val="BodyText"/>
      </w:pPr>
      <w:r>
        <w:t>Understanding when to rely on AI assistance versus human judgment is essential for working effectively with these tools. AI can be highly effective for tasks that are routine, pattern-based, and well-defined, particularly when sufficient historical data exists to guide decisions. Such tasks are generally low to medium risk and reversible. Examples include generating initial drafts of written content, analyzing large datasets for trends, and providing technical support for coding or documentation. For instance, a sales manager might use AI to create draft email templates for different customer segments and then refine each message using personal knowledge of client relationships. Similarly, a retail analyst could employ AI to identify trending products across regions and then interpret the results using market expertise. In technical problem-solving, a developer might use AI tools like GitHub Copilot to suggest code functions, which are then reviewed and tested to ensure they meet specific project requirements.</w:t>
      </w:r>
    </w:p>
    <w:p w14:paraId="589231DE" w14:textId="77777777" w:rsidR="00161B9C" w:rsidRDefault="00161B9C" w:rsidP="00161B9C">
      <w:pPr>
        <w:pStyle w:val="BodyText"/>
      </w:pPr>
      <w:r>
        <w:t>Human judgment becomes critical when tasks are creative, strategic, or require sensitivity to relationships, culture, or complex interpersonal dynamics. Decisions that involve high stakes, irreversible consequences, or ethical and legal considerations demand human accountability and moral reasoning. High-pressure or rapidly evolving situations, such as crises, also require human leadership and the ability to act under uncertainty. In these contexts, AI can provide support, but it cannot replace the nuanced decision-making, emotional intelligence, and ethical judgment that humans provide.</w:t>
      </w:r>
    </w:p>
    <w:p w14:paraId="7B8FE57D" w14:textId="77777777" w:rsidR="00161B9C" w:rsidRDefault="00161B9C" w:rsidP="00161B9C">
      <w:pPr>
        <w:pStyle w:val="BodyText"/>
      </w:pPr>
      <w:r>
        <w:t>It is important to recognize situations in which AI should not be relied upon. These include high-stakes financial or personnel decisions, tasks involving confidential or sensitive information, complex relationships or cultural considerations, and unprecedented challenges that require innovation. Effective collaboration with AI involves verifying the accuracy of AI-generated outputs, using AI for preliminary drafts or analysis, and then refining and finalizing decisions with human expertise. Transparency about the use of AI and maintaining human oversight for critical decisions are essential for responsible and professional practice.</w:t>
      </w:r>
    </w:p>
    <w:p w14:paraId="5A63F66D" w14:textId="77777777" w:rsidR="00161B9C" w:rsidRDefault="00161B9C" w:rsidP="00161B9C">
      <w:pPr>
        <w:pStyle w:val="BodyText"/>
      </w:pPr>
      <w:r>
        <w:t>When reflecting on recent work projects, it can be helpful to identify specific tasks where AI assistance would have been useful and others where human judgment was indispensable. Criteria for these distinctions often include the complexity of the task, the availability of reliable data, the stakes of the decision, and the potential consequences of errors. Recognizing these factors helps ensure that AI is used to complement, rather than replace, human judgment, leading to better outcomes and more ethical decision-making.</w:t>
      </w:r>
    </w:p>
    <w:p w14:paraId="47F1A3EA" w14:textId="77777777" w:rsidR="00161B9C" w:rsidRDefault="00161B9C" w:rsidP="00161B9C">
      <w:pPr>
        <w:pStyle w:val="Heading2"/>
      </w:pPr>
      <w:bookmarkStart w:id="16" w:name="_Toc218514443"/>
      <w:bookmarkStart w:id="17" w:name="X5b97239d8db2e8d40b67c669e3c0ac711c85790"/>
      <w:bookmarkEnd w:id="14"/>
      <w:r>
        <w:t>2.4 Integration of AI Assistants into Workflows</w:t>
      </w:r>
      <w:bookmarkEnd w:id="16"/>
    </w:p>
    <w:p w14:paraId="1C2A2C90" w14:textId="77777777" w:rsidR="00161B9C" w:rsidRDefault="00161B9C" w:rsidP="00161B9C">
      <w:pPr>
        <w:pStyle w:val="FirstParagraph"/>
      </w:pPr>
      <w:r>
        <w:t>Successfully integrating AI assistants into business workflows requires rethinking how work gets done. This section provides practical frameworks for incorporating AI assistance into daily operations.</w:t>
      </w:r>
    </w:p>
    <w:p w14:paraId="18FC6103" w14:textId="77777777" w:rsidR="00161B9C" w:rsidRDefault="00161B9C" w:rsidP="00161B9C">
      <w:pPr>
        <w:pStyle w:val="Heading3"/>
      </w:pPr>
      <w:bookmarkStart w:id="18" w:name="_Toc218514444"/>
      <w:bookmarkStart w:id="19" w:name="levels-of-ai-integration"/>
      <w:r>
        <w:t>2.4.1 Levels of AI Integration</w:t>
      </w:r>
      <w:bookmarkEnd w:id="18"/>
    </w:p>
    <w:tbl>
      <w:tblPr>
        <w:tblStyle w:val="Table"/>
        <w:tblW w:w="5000" w:type="pct"/>
        <w:tblLayout w:type="fixed"/>
        <w:tblLook w:val="0000" w:firstRow="0" w:lastRow="0" w:firstColumn="0" w:lastColumn="0" w:noHBand="0" w:noVBand="0"/>
      </w:tblPr>
      <w:tblGrid>
        <w:gridCol w:w="9360"/>
      </w:tblGrid>
      <w:tr w:rsidR="00161B9C" w14:paraId="6C3312C2" w14:textId="77777777" w:rsidTr="00C87320">
        <w:tc>
          <w:tcPr>
            <w:tcW w:w="7920" w:type="dxa"/>
          </w:tcPr>
          <w:p w14:paraId="25227B9F" w14:textId="77777777" w:rsidR="00161B9C" w:rsidRDefault="00161B9C" w:rsidP="00C87320">
            <w:pPr>
              <w:pStyle w:val="ImageCaption"/>
              <w:spacing w:before="200"/>
            </w:pPr>
            <w:bookmarkStart w:id="20" w:name="tbl-ai-adoption-levels"/>
            <w:r>
              <w:t>Table 2.2: Levels of AI Adoption in Organizations</w:t>
            </w:r>
          </w:p>
          <w:tbl>
            <w:tblPr>
              <w:tblStyle w:val="Table"/>
              <w:tblW w:w="5000" w:type="pct"/>
              <w:tblLayout w:type="fixed"/>
              <w:tblLook w:val="0020" w:firstRow="1" w:lastRow="0" w:firstColumn="0" w:lastColumn="0" w:noHBand="0" w:noVBand="0"/>
            </w:tblPr>
            <w:tblGrid>
              <w:gridCol w:w="2242"/>
              <w:gridCol w:w="3020"/>
              <w:gridCol w:w="2847"/>
              <w:gridCol w:w="1035"/>
            </w:tblGrid>
            <w:tr w:rsidR="00161B9C" w14:paraId="45188336"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1942" w:type="dxa"/>
                </w:tcPr>
                <w:p w14:paraId="36ED39D6" w14:textId="77777777" w:rsidR="00161B9C" w:rsidRDefault="00161B9C" w:rsidP="00C87320">
                  <w:pPr>
                    <w:pStyle w:val="Compact"/>
                    <w:jc w:val="center"/>
                  </w:pPr>
                  <w:r>
                    <w:t>Level</w:t>
                  </w:r>
                </w:p>
              </w:tc>
              <w:tc>
                <w:tcPr>
                  <w:tcW w:w="2615" w:type="dxa"/>
                </w:tcPr>
                <w:p w14:paraId="45D08DA0" w14:textId="77777777" w:rsidR="00161B9C" w:rsidRDefault="00161B9C" w:rsidP="00C87320">
                  <w:pPr>
                    <w:pStyle w:val="Compact"/>
                    <w:jc w:val="center"/>
                  </w:pPr>
                  <w:r>
                    <w:t>Description</w:t>
                  </w:r>
                </w:p>
              </w:tc>
              <w:tc>
                <w:tcPr>
                  <w:tcW w:w="2465" w:type="dxa"/>
                </w:tcPr>
                <w:p w14:paraId="6CD60685" w14:textId="77777777" w:rsidR="00161B9C" w:rsidRDefault="00161B9C" w:rsidP="00C87320">
                  <w:pPr>
                    <w:pStyle w:val="Compact"/>
                    <w:jc w:val="center"/>
                  </w:pPr>
                  <w:r>
                    <w:t>Examples</w:t>
                  </w:r>
                </w:p>
              </w:tc>
              <w:tc>
                <w:tcPr>
                  <w:tcW w:w="896" w:type="dxa"/>
                </w:tcPr>
                <w:p w14:paraId="69C4FC86" w14:textId="77777777" w:rsidR="00161B9C" w:rsidRDefault="00161B9C" w:rsidP="00C87320">
                  <w:pPr>
                    <w:pStyle w:val="Compact"/>
                    <w:jc w:val="center"/>
                  </w:pPr>
                  <w:r>
                    <w:t>Complex</w:t>
                  </w:r>
                </w:p>
              </w:tc>
            </w:tr>
            <w:tr w:rsidR="00161B9C" w14:paraId="28BB5F48" w14:textId="77777777" w:rsidTr="00C87320">
              <w:tc>
                <w:tcPr>
                  <w:tcW w:w="1942" w:type="dxa"/>
                </w:tcPr>
                <w:p w14:paraId="586E82FC" w14:textId="77777777" w:rsidR="00161B9C" w:rsidRDefault="00161B9C" w:rsidP="00C87320">
                  <w:pPr>
                    <w:pStyle w:val="Compact"/>
                    <w:jc w:val="center"/>
                  </w:pPr>
                  <w:r>
                    <w:t>Individual use</w:t>
                  </w:r>
                </w:p>
              </w:tc>
              <w:tc>
                <w:tcPr>
                  <w:tcW w:w="2615" w:type="dxa"/>
                </w:tcPr>
                <w:p w14:paraId="22A3EB9E" w14:textId="77777777" w:rsidR="00161B9C" w:rsidRDefault="00161B9C" w:rsidP="00C87320">
                  <w:pPr>
                    <w:pStyle w:val="Compact"/>
                    <w:jc w:val="center"/>
                  </w:pPr>
                  <w:r>
                    <w:t>Personal productivity tools</w:t>
                  </w:r>
                </w:p>
              </w:tc>
              <w:tc>
                <w:tcPr>
                  <w:tcW w:w="2465" w:type="dxa"/>
                </w:tcPr>
                <w:p w14:paraId="0592DFB9" w14:textId="77777777" w:rsidR="00161B9C" w:rsidRDefault="00161B9C" w:rsidP="00C87320">
                  <w:pPr>
                    <w:pStyle w:val="Compact"/>
                    <w:jc w:val="center"/>
                  </w:pPr>
                  <w:r>
                    <w:t xml:space="preserve">ChatGPT for </w:t>
                  </w:r>
                  <w:proofErr w:type="spellStart"/>
                  <w:r>
                    <w:t>writing,Copilot</w:t>
                  </w:r>
                  <w:proofErr w:type="spellEnd"/>
                  <w:r>
                    <w:t xml:space="preserve"> for coding</w:t>
                  </w:r>
                </w:p>
              </w:tc>
              <w:tc>
                <w:tcPr>
                  <w:tcW w:w="896" w:type="dxa"/>
                </w:tcPr>
                <w:p w14:paraId="6E9D6F15" w14:textId="77777777" w:rsidR="00161B9C" w:rsidRDefault="00161B9C" w:rsidP="00C87320">
                  <w:pPr>
                    <w:pStyle w:val="Compact"/>
                    <w:jc w:val="center"/>
                  </w:pPr>
                  <w:r>
                    <w:t>Low</w:t>
                  </w:r>
                </w:p>
              </w:tc>
            </w:tr>
            <w:tr w:rsidR="00161B9C" w14:paraId="1277CDD7" w14:textId="77777777" w:rsidTr="00C87320">
              <w:tc>
                <w:tcPr>
                  <w:tcW w:w="1942" w:type="dxa"/>
                </w:tcPr>
                <w:p w14:paraId="3743214D" w14:textId="77777777" w:rsidR="00161B9C" w:rsidRDefault="00161B9C" w:rsidP="00C87320">
                  <w:pPr>
                    <w:pStyle w:val="Compact"/>
                    <w:jc w:val="center"/>
                  </w:pPr>
                  <w:r>
                    <w:t>Team collaboration</w:t>
                  </w:r>
                </w:p>
              </w:tc>
              <w:tc>
                <w:tcPr>
                  <w:tcW w:w="2615" w:type="dxa"/>
                </w:tcPr>
                <w:p w14:paraId="25616024" w14:textId="77777777" w:rsidR="00161B9C" w:rsidRDefault="00161B9C" w:rsidP="00C87320">
                  <w:pPr>
                    <w:pStyle w:val="Compact"/>
                    <w:jc w:val="center"/>
                  </w:pPr>
                  <w:r>
                    <w:t>Shared AI tools for projects</w:t>
                  </w:r>
                </w:p>
              </w:tc>
              <w:tc>
                <w:tcPr>
                  <w:tcW w:w="2465" w:type="dxa"/>
                </w:tcPr>
                <w:p w14:paraId="23B1FE66" w14:textId="77777777" w:rsidR="00161B9C" w:rsidRDefault="00161B9C" w:rsidP="00C87320">
                  <w:pPr>
                    <w:pStyle w:val="Compact"/>
                    <w:jc w:val="center"/>
                  </w:pPr>
                  <w:r>
                    <w:t xml:space="preserve">Meeting </w:t>
                  </w:r>
                  <w:proofErr w:type="spellStart"/>
                  <w:r>
                    <w:t>summaries,Document</w:t>
                  </w:r>
                  <w:proofErr w:type="spellEnd"/>
                  <w:r>
                    <w:t xml:space="preserve"> editing</w:t>
                  </w:r>
                </w:p>
              </w:tc>
              <w:tc>
                <w:tcPr>
                  <w:tcW w:w="896" w:type="dxa"/>
                </w:tcPr>
                <w:p w14:paraId="7E79672B" w14:textId="77777777" w:rsidR="00161B9C" w:rsidRDefault="00161B9C" w:rsidP="00C87320">
                  <w:pPr>
                    <w:pStyle w:val="Compact"/>
                    <w:jc w:val="center"/>
                  </w:pPr>
                  <w:r>
                    <w:t>Medium</w:t>
                  </w:r>
                </w:p>
              </w:tc>
            </w:tr>
            <w:tr w:rsidR="00161B9C" w14:paraId="1DA4EA6E" w14:textId="77777777" w:rsidTr="00C87320">
              <w:tc>
                <w:tcPr>
                  <w:tcW w:w="1942" w:type="dxa"/>
                </w:tcPr>
                <w:p w14:paraId="19207644" w14:textId="77777777" w:rsidR="00161B9C" w:rsidRDefault="00161B9C" w:rsidP="00C87320">
                  <w:pPr>
                    <w:pStyle w:val="Compact"/>
                    <w:jc w:val="center"/>
                  </w:pPr>
                  <w:r>
                    <w:t>Department integration</w:t>
                  </w:r>
                </w:p>
              </w:tc>
              <w:tc>
                <w:tcPr>
                  <w:tcW w:w="2615" w:type="dxa"/>
                </w:tcPr>
                <w:p w14:paraId="0D65DB49" w14:textId="77777777" w:rsidR="00161B9C" w:rsidRDefault="00161B9C" w:rsidP="00C87320">
                  <w:pPr>
                    <w:pStyle w:val="Compact"/>
                    <w:jc w:val="center"/>
                  </w:pPr>
                  <w:r>
                    <w:t>AI embedded in department workflows</w:t>
                  </w:r>
                </w:p>
              </w:tc>
              <w:tc>
                <w:tcPr>
                  <w:tcW w:w="2465" w:type="dxa"/>
                </w:tcPr>
                <w:p w14:paraId="179A2510" w14:textId="77777777" w:rsidR="00161B9C" w:rsidRDefault="00161B9C" w:rsidP="00C87320">
                  <w:pPr>
                    <w:pStyle w:val="Compact"/>
                    <w:jc w:val="center"/>
                  </w:pPr>
                  <w:r>
                    <w:t xml:space="preserve">Marketing </w:t>
                  </w:r>
                  <w:proofErr w:type="spellStart"/>
                  <w:r>
                    <w:t>campaigns,HR</w:t>
                  </w:r>
                  <w:proofErr w:type="spellEnd"/>
                  <w:r>
                    <w:t xml:space="preserve"> recruitment</w:t>
                  </w:r>
                </w:p>
              </w:tc>
              <w:tc>
                <w:tcPr>
                  <w:tcW w:w="896" w:type="dxa"/>
                </w:tcPr>
                <w:p w14:paraId="0F8C8A5E" w14:textId="77777777" w:rsidR="00161B9C" w:rsidRDefault="00161B9C" w:rsidP="00C87320">
                  <w:pPr>
                    <w:pStyle w:val="Compact"/>
                    <w:jc w:val="center"/>
                  </w:pPr>
                  <w:r>
                    <w:t>Medium-high</w:t>
                  </w:r>
                </w:p>
              </w:tc>
            </w:tr>
            <w:tr w:rsidR="00161B9C" w14:paraId="2C6F69A1" w14:textId="77777777" w:rsidTr="00C87320">
              <w:tc>
                <w:tcPr>
                  <w:tcW w:w="1942" w:type="dxa"/>
                </w:tcPr>
                <w:p w14:paraId="5AC22CDD" w14:textId="77777777" w:rsidR="00161B9C" w:rsidRDefault="00161B9C" w:rsidP="00C87320">
                  <w:pPr>
                    <w:pStyle w:val="Compact"/>
                    <w:jc w:val="center"/>
                  </w:pPr>
                  <w:r>
                    <w:t>Enterprise orchestration</w:t>
                  </w:r>
                </w:p>
              </w:tc>
              <w:tc>
                <w:tcPr>
                  <w:tcW w:w="2615" w:type="dxa"/>
                </w:tcPr>
                <w:p w14:paraId="66400F3F" w14:textId="77777777" w:rsidR="00161B9C" w:rsidRDefault="00161B9C" w:rsidP="00C87320">
                  <w:pPr>
                    <w:pStyle w:val="Compact"/>
                    <w:jc w:val="center"/>
                  </w:pPr>
                  <w:r>
                    <w:t>Cross-functional AI coordination</w:t>
                  </w:r>
                </w:p>
              </w:tc>
              <w:tc>
                <w:tcPr>
                  <w:tcW w:w="2465" w:type="dxa"/>
                </w:tcPr>
                <w:p w14:paraId="4295D27B" w14:textId="77777777" w:rsidR="00161B9C" w:rsidRDefault="00161B9C" w:rsidP="00C87320">
                  <w:pPr>
                    <w:pStyle w:val="Compact"/>
                    <w:jc w:val="center"/>
                  </w:pPr>
                  <w:r>
                    <w:t>Integrated decision-support systems</w:t>
                  </w:r>
                </w:p>
              </w:tc>
              <w:tc>
                <w:tcPr>
                  <w:tcW w:w="896" w:type="dxa"/>
                </w:tcPr>
                <w:p w14:paraId="08B8966C" w14:textId="77777777" w:rsidR="00161B9C" w:rsidRDefault="00161B9C" w:rsidP="00C87320">
                  <w:pPr>
                    <w:pStyle w:val="Compact"/>
                    <w:jc w:val="center"/>
                  </w:pPr>
                  <w:r>
                    <w:t>High</w:t>
                  </w:r>
                </w:p>
              </w:tc>
            </w:tr>
            <w:bookmarkEnd w:id="20"/>
          </w:tbl>
          <w:p w14:paraId="49340866" w14:textId="77777777" w:rsidR="00161B9C" w:rsidRDefault="00161B9C" w:rsidP="00C87320"/>
        </w:tc>
      </w:tr>
    </w:tbl>
    <w:p w14:paraId="7E639748" w14:textId="77777777" w:rsidR="00161B9C" w:rsidRDefault="00161B9C" w:rsidP="00161B9C">
      <w:pPr>
        <w:pStyle w:val="BodyText"/>
      </w:pPr>
      <w:r>
        <w:t>AI can be integrated at multiple levels, ranging from individual use to enterprise-wide orchestration. At the individual level, AI tools enhance personal productivity, such as using ChatGPT for writing or GitHub Copilot for coding. Team-level integration involves shared AI tools to support collaboration, including meeting summaries or document editing. Department-level integration embeds AI into departmental workflows, such as automating marketing campaigns or supporting human resources recruitment. At the enterprise level, AI supports cross-functional coordination through integrated decision-support systems. The table below summarizes these levels:</w:t>
      </w:r>
    </w:p>
    <w:p w14:paraId="4DAF9A45" w14:textId="77777777" w:rsidR="00161B9C" w:rsidRDefault="00161B9C" w:rsidP="00161B9C">
      <w:pPr>
        <w:pStyle w:val="Heading3"/>
      </w:pPr>
      <w:bookmarkStart w:id="21" w:name="_Toc218514445"/>
      <w:bookmarkStart w:id="22" w:name="integration-patterns"/>
      <w:bookmarkEnd w:id="19"/>
      <w:r>
        <w:t>2.4.2 Integration Patterns</w:t>
      </w:r>
      <w:bookmarkEnd w:id="21"/>
    </w:p>
    <w:p w14:paraId="64BE1F4F" w14:textId="77777777" w:rsidR="00161B9C" w:rsidRDefault="00161B9C" w:rsidP="00161B9C">
      <w:pPr>
        <w:pStyle w:val="FirstParagraph"/>
      </w:pPr>
      <w:r>
        <w:rPr>
          <w:noProof/>
        </w:rPr>
        <w:drawing>
          <wp:inline distT="0" distB="0" distL="0" distR="0" wp14:anchorId="23C27D72" wp14:editId="77534D76">
            <wp:extent cx="5334000" cy="2143125"/>
            <wp:effectExtent l="0" t="0" r="0" b="0"/>
            <wp:docPr id="90" name="Picture" descr="Integration patterns as discussed in text"/>
            <wp:cNvGraphicFramePr/>
            <a:graphic xmlns:a="http://schemas.openxmlformats.org/drawingml/2006/main">
              <a:graphicData uri="http://schemas.openxmlformats.org/drawingml/2006/picture">
                <pic:pic xmlns:pic="http://schemas.openxmlformats.org/drawingml/2006/picture">
                  <pic:nvPicPr>
                    <pic:cNvPr id="90" name="Picture" descr="Integration patterns as discussed in text"/>
                    <pic:cNvPicPr>
                      <a:picLocks noChangeAspect="1" noChangeArrowheads="1"/>
                    </pic:cNvPicPr>
                  </pic:nvPicPr>
                  <pic:blipFill>
                    <a:blip r:embed="rId7"/>
                    <a:stretch>
                      <a:fillRect/>
                    </a:stretch>
                  </pic:blipFill>
                  <pic:spPr bwMode="auto">
                    <a:xfrm>
                      <a:off x="0" y="0"/>
                      <a:ext cx="5334702" cy="2143407"/>
                    </a:xfrm>
                    <a:prstGeom prst="rect">
                      <a:avLst/>
                    </a:prstGeom>
                    <a:noFill/>
                    <a:ln w="9525">
                      <a:noFill/>
                      <a:headEnd/>
                      <a:tailEnd/>
                    </a:ln>
                  </pic:spPr>
                </pic:pic>
              </a:graphicData>
            </a:graphic>
          </wp:inline>
        </w:drawing>
      </w:r>
    </w:p>
    <w:p w14:paraId="6CC3F629" w14:textId="77777777" w:rsidR="00161B9C" w:rsidRDefault="00161B9C" w:rsidP="00161B9C">
      <w:pPr>
        <w:pStyle w:val="BodyText"/>
      </w:pPr>
      <w:r>
        <w:t>Organizations typically integrate AI using one of three patterns. The enhancement pattern adds AI to existing processes to improve speed and quality without fundamentally changing workflows. For example, a content team might use AI to draft article outlines while retaining their standard editorial process. The transformation pattern involves redesigning workflows around AI capabilities to achieve new outcomes, such as a customer service team shifting from reactive to proactive support using AI predictions. The acceleration pattern leverages AI to dramatically speed up time-intensive tasks, exemplified by a legal team using AI for initial contract review, allowing lawyers to focus on negotiation and strategy.</w:t>
      </w:r>
    </w:p>
    <w:p w14:paraId="34C76247" w14:textId="77777777" w:rsidR="00161B9C" w:rsidRDefault="00161B9C" w:rsidP="00161B9C">
      <w:pPr>
        <w:pStyle w:val="Heading3"/>
      </w:pPr>
      <w:bookmarkStart w:id="23" w:name="_Toc218514446"/>
      <w:bookmarkStart w:id="24" w:name="practical-implementation-roadmap"/>
      <w:bookmarkEnd w:id="22"/>
      <w:r>
        <w:t>2.4.3 Practical Implementation Roadmap</w:t>
      </w:r>
      <w:bookmarkEnd w:id="23"/>
    </w:p>
    <w:p w14:paraId="60122079" w14:textId="77777777" w:rsidR="00161B9C" w:rsidRDefault="00161B9C" w:rsidP="00161B9C">
      <w:pPr>
        <w:pStyle w:val="FirstParagraph"/>
      </w:pPr>
      <w:r>
        <w:t>Integrating AI into workflows benefits from a phased approach. In weeks one and two, individuals can experiment with AI for routine tasks that consume significant time, documenting improvements in efficiency and quality. In weeks three and four, successful practices should be shared with team members, establishing guidelines for appropriate AI use and developing effective prompts or templates. By the second month, AI can be formally incorporated into team processes, with quality control procedures and training to ensure smooth collaboration. From month three onward, organizations can scale successful applications to related processes, integrate AI with other business systems, and disseminate best practices across teams.</w:t>
      </w:r>
    </w:p>
    <w:p w14:paraId="3274A444" w14:textId="77777777" w:rsidR="00161B9C" w:rsidRDefault="00161B9C" w:rsidP="00161B9C">
      <w:pPr>
        <w:pStyle w:val="Heading3"/>
      </w:pPr>
      <w:bookmarkStart w:id="25" w:name="_Toc218514447"/>
      <w:bookmarkStart w:id="26" w:name="common-integration-challenges"/>
      <w:bookmarkEnd w:id="24"/>
      <w:r>
        <w:t>2.4.4 Common Integration Challenges</w:t>
      </w:r>
      <w:bookmarkEnd w:id="25"/>
    </w:p>
    <w:p w14:paraId="3FCE842B" w14:textId="77777777" w:rsidR="00161B9C" w:rsidRDefault="00161B9C" w:rsidP="00161B9C">
      <w:pPr>
        <w:pStyle w:val="FirstParagraph"/>
      </w:pPr>
      <w:r>
        <w:t>Several challenges may arise during AI integration. Inconsistent quality can be addressed by developing standardized prompts and quality checklists. Employee resistance can be mitigated by emphasizing that AI augments rather than replaces human work, coupled with training. Information security concerns require clear guidelines for data sharing, and potential workflow disruption can be managed by implementing AI gradually while maintaining parallel processes until reliability is established.</w:t>
      </w:r>
    </w:p>
    <w:p w14:paraId="70B139B0" w14:textId="77777777" w:rsidR="00161B9C" w:rsidRDefault="00161B9C" w:rsidP="00161B9C">
      <w:pPr>
        <w:pStyle w:val="Heading2"/>
      </w:pPr>
      <w:bookmarkStart w:id="27" w:name="_Toc218514448"/>
      <w:bookmarkStart w:id="28" w:name="Xd579712c75cfc54b0342b57301cecfece816609"/>
      <w:bookmarkEnd w:id="17"/>
      <w:bookmarkEnd w:id="26"/>
      <w:r>
        <w:t>2.5 Applications of AI Assistants in Business</w:t>
      </w:r>
      <w:bookmarkEnd w:id="27"/>
    </w:p>
    <w:p w14:paraId="59FF0D7F" w14:textId="77777777" w:rsidR="00161B9C" w:rsidRDefault="00161B9C" w:rsidP="00161B9C">
      <w:pPr>
        <w:pStyle w:val="FirstParagraph"/>
      </w:pPr>
      <w:r>
        <w:t>AI assistants are transforming work across every business function. This section explores the most impactful applications with concrete examples and implementation guidance.</w:t>
      </w:r>
    </w:p>
    <w:p w14:paraId="28B5A505" w14:textId="77777777" w:rsidR="00161B9C" w:rsidRDefault="00161B9C" w:rsidP="00161B9C">
      <w:pPr>
        <w:pStyle w:val="BodyText"/>
      </w:pPr>
      <w:r>
        <w:rPr>
          <w:noProof/>
        </w:rPr>
        <w:drawing>
          <wp:inline distT="0" distB="0" distL="0" distR="0" wp14:anchorId="51CF99E8" wp14:editId="245044CE">
            <wp:extent cx="5067300" cy="2648815"/>
            <wp:effectExtent l="0" t="0" r="0" b="0"/>
            <wp:docPr id="97" name="Picture" descr="Applications of AI assistants in business material in text"/>
            <wp:cNvGraphicFramePr/>
            <a:graphic xmlns:a="http://schemas.openxmlformats.org/drawingml/2006/main">
              <a:graphicData uri="http://schemas.openxmlformats.org/drawingml/2006/picture">
                <pic:pic xmlns:pic="http://schemas.openxmlformats.org/drawingml/2006/picture">
                  <pic:nvPicPr>
                    <pic:cNvPr id="97" name="Picture" descr="Applications of AI assistants in business material in text"/>
                    <pic:cNvPicPr>
                      <a:picLocks noChangeAspect="1" noChangeArrowheads="1"/>
                    </pic:cNvPicPr>
                  </pic:nvPicPr>
                  <pic:blipFill>
                    <a:blip r:embed="rId8"/>
                    <a:stretch>
                      <a:fillRect/>
                    </a:stretch>
                  </pic:blipFill>
                  <pic:spPr bwMode="auto">
                    <a:xfrm>
                      <a:off x="0" y="0"/>
                      <a:ext cx="5067300" cy="2648815"/>
                    </a:xfrm>
                    <a:prstGeom prst="rect">
                      <a:avLst/>
                    </a:prstGeom>
                    <a:noFill/>
                    <a:ln w="9525">
                      <a:noFill/>
                      <a:headEnd/>
                      <a:tailEnd/>
                    </a:ln>
                  </pic:spPr>
                </pic:pic>
              </a:graphicData>
            </a:graphic>
          </wp:inline>
        </w:drawing>
      </w:r>
    </w:p>
    <w:p w14:paraId="5B886929" w14:textId="77777777" w:rsidR="00161B9C" w:rsidRDefault="00161B9C" w:rsidP="00161B9C">
      <w:pPr>
        <w:pStyle w:val="Heading3"/>
      </w:pPr>
      <w:bookmarkStart w:id="29" w:name="_Toc218514449"/>
      <w:bookmarkStart w:id="30" w:name="X0df5a83146b4a427c03138994f09e284aa40768"/>
      <w:r>
        <w:t>2.5.1 Sales Personalization and Customer Engagement</w:t>
      </w:r>
      <w:bookmarkEnd w:id="29"/>
    </w:p>
    <w:p w14:paraId="1B373A84" w14:textId="77777777" w:rsidR="00161B9C" w:rsidRDefault="00161B9C" w:rsidP="00161B9C">
      <w:pPr>
        <w:pStyle w:val="FirstParagraph"/>
      </w:pPr>
      <w:r>
        <w:t xml:space="preserve">AI enables mass personalization at scale, revolutionizing how sales teams engage with prospects. It can generate customized emails based on prospect data, automatically create proposals using templates, and analyze behavior to score leads, improving response rates, turnaround times, and conversion. For instance, a software company implemented AI-powered sales assistance that analyzed </w:t>
      </w:r>
      <w:proofErr w:type="gramStart"/>
      <w:r>
        <w:t>prospect</w:t>
      </w:r>
      <w:proofErr w:type="gramEnd"/>
      <w:r>
        <w:t xml:space="preserve"> websites and industry news to generate personalized conversation starters. This resulted in a 35 percent increase in qualified opportunities and a 20 percent reduction in sales cycle length.</w:t>
      </w:r>
    </w:p>
    <w:p w14:paraId="30CC8DA8" w14:textId="77777777" w:rsidR="00161B9C" w:rsidRDefault="00161B9C" w:rsidP="00161B9C">
      <w:pPr>
        <w:pStyle w:val="Heading3"/>
      </w:pPr>
      <w:bookmarkStart w:id="31" w:name="_Toc218514450"/>
      <w:bookmarkStart w:id="32" w:name="report-generation-and-data-analysis"/>
      <w:bookmarkEnd w:id="30"/>
      <w:r>
        <w:t>2.5.2 Report Generation and Data Analysis</w:t>
      </w:r>
      <w:bookmarkEnd w:id="31"/>
    </w:p>
    <w:p w14:paraId="3263263F" w14:textId="77777777" w:rsidR="00161B9C" w:rsidRDefault="00161B9C" w:rsidP="00161B9C">
      <w:pPr>
        <w:pStyle w:val="FirstParagraph"/>
      </w:pPr>
      <w:r>
        <w:t>In reporting and data analysis, AI converts raw data into actionable insights, allowing analysts to focus on interpretation and strategic recommendations. Traditional report preparation may take 12 to 17 hours, including data collection, cleaning, analysis, visualization, and writing. With AI, workflows are streamlined: data aggregation, pattern identification, and initial drafting are automated, while humans add business context and refine recommendations. This approach reduces report preparation time by 70 percent, improves consistency and quality by 50 percent, increases insight frequency, and accelerates decision-making by 25 percent.</w:t>
      </w:r>
    </w:p>
    <w:p w14:paraId="20BF0BEA" w14:textId="77777777" w:rsidR="00161B9C" w:rsidRDefault="00161B9C" w:rsidP="00161B9C">
      <w:pPr>
        <w:pStyle w:val="Heading3"/>
      </w:pPr>
      <w:bookmarkStart w:id="33" w:name="_Toc218514451"/>
      <w:bookmarkStart w:id="34" w:name="productivity-and-code-generation"/>
      <w:bookmarkEnd w:id="32"/>
      <w:r>
        <w:t>2.5.3 Productivity and Code Generation</w:t>
      </w:r>
      <w:bookmarkEnd w:id="33"/>
    </w:p>
    <w:p w14:paraId="5C38DF5B" w14:textId="77777777" w:rsidR="00161B9C" w:rsidRDefault="00161B9C" w:rsidP="00161B9C">
      <w:pPr>
        <w:pStyle w:val="FirstParagraph"/>
      </w:pPr>
      <w:r>
        <w:t>AI coding assistants improve software development efficiency while maintaining quality. They provide auto-completion, function generation, debugging suggestions, and automatic documentation. A fintech startup with fifteen engineers using GitHub Copilot reported a 45 percent increase in feature delivery speed, a 30 percent reduction in code review cycles, and a 50 percent improvement in documentation quality. By handling repetitive coding tasks, AI frees developers to focus on higher-level design, problem-solving, and innovation.</w:t>
      </w:r>
    </w:p>
    <w:p w14:paraId="0CDD8D9D" w14:textId="77777777" w:rsidR="00161B9C" w:rsidRDefault="00161B9C" w:rsidP="00161B9C">
      <w:pPr>
        <w:pStyle w:val="Heading3"/>
      </w:pPr>
      <w:bookmarkStart w:id="35" w:name="_Toc218514452"/>
      <w:bookmarkStart w:id="36" w:name="meeting-summaries-and-documentation"/>
      <w:bookmarkEnd w:id="34"/>
      <w:r>
        <w:t>2.5.4 Meeting Summaries and Documentation</w:t>
      </w:r>
      <w:bookmarkEnd w:id="35"/>
    </w:p>
    <w:p w14:paraId="2A8E7490" w14:textId="77777777" w:rsidR="00161B9C" w:rsidRDefault="00161B9C" w:rsidP="00161B9C">
      <w:pPr>
        <w:pStyle w:val="FirstParagraph"/>
      </w:pPr>
      <w:r>
        <w:t>AI transforms how organizations capture and act on meeting information. Traditional meetings rely on manual notetaking, which is often incomplete and time-consuming to organize, resulting in lost action items and inconsistent documentation. AI now provides automatic transcription, summarization, action item identification, and searchable archives. Tools such as Otter.ai, Read.ai, and Microsoft Copilot enable real-time transcription, summary generation, and integration with enterprise collaboration platforms. Organizations using these tools report up to an 80 percent reduction in follow-up time, a 60 percent improvement in action item completion, and increased meeting productivity, with participants strongly preferring AI-generated summaries over manual notes.</w:t>
      </w:r>
    </w:p>
    <w:p w14:paraId="361A7874" w14:textId="77777777" w:rsidR="00161B9C" w:rsidRDefault="00161B9C" w:rsidP="00161B9C">
      <w:pPr>
        <w:pStyle w:val="Heading3"/>
      </w:pPr>
      <w:bookmarkStart w:id="37" w:name="_Toc218514453"/>
      <w:bookmarkStart w:id="38" w:name="content-creation-and-marketing"/>
      <w:bookmarkEnd w:id="36"/>
      <w:r>
        <w:t>2.5.5 Content Creation and Marketing</w:t>
      </w:r>
      <w:bookmarkEnd w:id="37"/>
    </w:p>
    <w:p w14:paraId="308BC033" w14:textId="77777777" w:rsidR="00161B9C" w:rsidRDefault="00161B9C" w:rsidP="00161B9C">
      <w:pPr>
        <w:pStyle w:val="FirstParagraph"/>
      </w:pPr>
      <w:r>
        <w:t>AI enhances marketing workflows by enabling faster content creation while maintaining brand consistency. AI can generate ideas, create outlines, draft content, and optimize messaging, while humans contribute expertise, insights, and relationship knowledge. For example, the process of producing a blog post can be reduced from 15 to 23 hours to just 5 to 7 hours by combining AI efficiency with human refinement. Effective implementation balances AI-generated content with human creativity and judgment, ensuring output is both scalable and authentic.</w:t>
      </w:r>
    </w:p>
    <w:p w14:paraId="7C5937FE" w14:textId="77777777" w:rsidR="00161B9C" w:rsidRDefault="00161B9C" w:rsidP="00161B9C">
      <w:pPr>
        <w:pStyle w:val="Heading2"/>
      </w:pPr>
      <w:bookmarkStart w:id="39" w:name="_Toc218514454"/>
      <w:bookmarkStart w:id="40" w:name="conclusion-1"/>
      <w:bookmarkEnd w:id="28"/>
      <w:bookmarkEnd w:id="38"/>
      <w:r>
        <w:t>2.6 Conclusion</w:t>
      </w:r>
      <w:bookmarkEnd w:id="39"/>
    </w:p>
    <w:p w14:paraId="05C618D1" w14:textId="77777777" w:rsidR="00161B9C" w:rsidRDefault="00161B9C" w:rsidP="00161B9C">
      <w:pPr>
        <w:pStyle w:val="FirstParagraph"/>
      </w:pPr>
      <w:r>
        <w:t>AI assistants are transforming the way work is done by shifting the focus from learning a computer’s language to having computers understand human intent. These tools function as collaborative partners, augmenting human capabilities and creating opportunities to leverage both artificial and human intelligence. They excel at handling routine, pattern-based tasks with clear criteria, allowing humans to concentrate on high-stakes decisions, complex relationships, and ethical considerations. Maintaining human oversight is essential to ensure accuracy, accountability, and responsible use.</w:t>
      </w:r>
    </w:p>
    <w:p w14:paraId="1BB2C20D" w14:textId="77777777" w:rsidR="00161B9C" w:rsidRDefault="00161B9C" w:rsidP="00161B9C">
      <w:pPr>
        <w:pStyle w:val="BodyText"/>
      </w:pPr>
      <w:r>
        <w:t>Effective integration of AI into workflows is gradual and strategic. It begins with improving individual productivity and then scales to team and organizational processes. The focus should be on enhancing existing workflows rather than attempting to replace them entirely, allowing users to build confidence and capability over time. When applied appropriately, AI assistants deliver measurable value across business functions, from accelerating coding and data analysis to reducing report preparation time. The common thread is using AI for routine cognitive work while freeing humans for strategic thinking, problem-solving, and relationship-building.</w:t>
      </w:r>
    </w:p>
    <w:p w14:paraId="33CB2213" w14:textId="77777777" w:rsidR="00161B9C" w:rsidRDefault="00161B9C" w:rsidP="00161B9C">
      <w:pPr>
        <w:pStyle w:val="BodyText"/>
      </w:pPr>
      <w:r>
        <w:t>Thriving in an AI-augmented workplace requires developing a set of essential skills. Prompt engineering, or communicating effectively with AI systems, is critical, as is the ability to critically evaluate AI output for accuracy and relevance. Professionals must structure workflows that leverage both AI efficiency and human expertise and exercise sound ethical reasoning when making decisions involving AI. This shift also demands a mindset evolution, moving from “doing the work” to “directing the work,” from trying to know everything to knowing how to evaluate information, and from focusing solely on individual productivity to optimizing human-AI collaboration.</w:t>
      </w:r>
    </w:p>
    <w:bookmarkEnd w:id="40"/>
    <w:p w14:paraId="12E6F2F8" w14:textId="77777777" w:rsidR="00161B9C" w:rsidRDefault="00161B9C" w:rsidP="00161B9C">
      <w:pPr>
        <w:rPr>
          <w:rFonts w:asciiTheme="majorHAnsi" w:eastAsiaTheme="majorEastAsia" w:hAnsiTheme="majorHAnsi" w:cstheme="majorBidi"/>
          <w:color w:val="0F4761" w:themeColor="accent1" w:themeShade="BF"/>
          <w:sz w:val="40"/>
          <w:szCs w:val="40"/>
        </w:rPr>
      </w:pPr>
      <w:r>
        <w:br w:type="page"/>
      </w:r>
    </w:p>
    <w:p w14:paraId="6770A96A" w14:textId="77777777" w:rsidR="00B11C5D" w:rsidRDefault="00B11C5D"/>
    <w:sectPr w:rsidR="00B11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9C"/>
    <w:rsid w:val="00161B9C"/>
    <w:rsid w:val="002A076D"/>
    <w:rsid w:val="00602C6D"/>
    <w:rsid w:val="006B0CF0"/>
    <w:rsid w:val="00732953"/>
    <w:rsid w:val="00952C14"/>
    <w:rsid w:val="00A00DB7"/>
    <w:rsid w:val="00B11C5D"/>
    <w:rsid w:val="00C2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9CA9"/>
  <w15:chartTrackingRefBased/>
  <w15:docId w15:val="{ED4AA4AC-9698-4064-BC86-2512BA73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B9C"/>
    <w:pPr>
      <w:spacing w:after="200" w:line="240" w:lineRule="auto"/>
    </w:pPr>
    <w:rPr>
      <w:kern w:val="0"/>
      <w14:ligatures w14:val="none"/>
    </w:rPr>
  </w:style>
  <w:style w:type="paragraph" w:styleId="Heading1">
    <w:name w:val="heading 1"/>
    <w:basedOn w:val="Normal"/>
    <w:next w:val="Normal"/>
    <w:link w:val="Heading1Char"/>
    <w:uiPriority w:val="9"/>
    <w:qFormat/>
    <w:rsid w:val="00161B9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1B9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1B9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1B9C"/>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61B9C"/>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61B9C"/>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61B9C"/>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61B9C"/>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61B9C"/>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B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1B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1B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1B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1B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1B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1B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1B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1B9C"/>
    <w:rPr>
      <w:rFonts w:eastAsiaTheme="majorEastAsia" w:cstheme="majorBidi"/>
      <w:color w:val="272727" w:themeColor="text1" w:themeTint="D8"/>
    </w:rPr>
  </w:style>
  <w:style w:type="paragraph" w:styleId="Title">
    <w:name w:val="Title"/>
    <w:basedOn w:val="Normal"/>
    <w:next w:val="Normal"/>
    <w:link w:val="TitleChar"/>
    <w:uiPriority w:val="10"/>
    <w:qFormat/>
    <w:rsid w:val="00161B9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1B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1B9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1B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1B9C"/>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161B9C"/>
    <w:rPr>
      <w:i/>
      <w:iCs/>
      <w:color w:val="404040" w:themeColor="text1" w:themeTint="BF"/>
    </w:rPr>
  </w:style>
  <w:style w:type="paragraph" w:styleId="ListParagraph">
    <w:name w:val="List Paragraph"/>
    <w:basedOn w:val="Normal"/>
    <w:uiPriority w:val="34"/>
    <w:qFormat/>
    <w:rsid w:val="00161B9C"/>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161B9C"/>
    <w:rPr>
      <w:i/>
      <w:iCs/>
      <w:color w:val="0F4761" w:themeColor="accent1" w:themeShade="BF"/>
    </w:rPr>
  </w:style>
  <w:style w:type="paragraph" w:styleId="IntenseQuote">
    <w:name w:val="Intense Quote"/>
    <w:basedOn w:val="Normal"/>
    <w:next w:val="Normal"/>
    <w:link w:val="IntenseQuoteChar"/>
    <w:uiPriority w:val="30"/>
    <w:qFormat/>
    <w:rsid w:val="00161B9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161B9C"/>
    <w:rPr>
      <w:i/>
      <w:iCs/>
      <w:color w:val="0F4761" w:themeColor="accent1" w:themeShade="BF"/>
    </w:rPr>
  </w:style>
  <w:style w:type="character" w:styleId="IntenseReference">
    <w:name w:val="Intense Reference"/>
    <w:basedOn w:val="DefaultParagraphFont"/>
    <w:uiPriority w:val="32"/>
    <w:qFormat/>
    <w:rsid w:val="00161B9C"/>
    <w:rPr>
      <w:b/>
      <w:bCs/>
      <w:smallCaps/>
      <w:color w:val="0F4761" w:themeColor="accent1" w:themeShade="BF"/>
      <w:spacing w:val="5"/>
    </w:rPr>
  </w:style>
  <w:style w:type="paragraph" w:styleId="BodyText">
    <w:name w:val="Body Text"/>
    <w:basedOn w:val="Normal"/>
    <w:link w:val="BodyTextChar"/>
    <w:qFormat/>
    <w:rsid w:val="00161B9C"/>
    <w:pPr>
      <w:spacing w:before="180" w:after="180"/>
    </w:pPr>
  </w:style>
  <w:style w:type="character" w:customStyle="1" w:styleId="BodyTextChar">
    <w:name w:val="Body Text Char"/>
    <w:basedOn w:val="DefaultParagraphFont"/>
    <w:link w:val="BodyText"/>
    <w:rsid w:val="00161B9C"/>
    <w:rPr>
      <w:kern w:val="0"/>
      <w14:ligatures w14:val="none"/>
    </w:rPr>
  </w:style>
  <w:style w:type="paragraph" w:customStyle="1" w:styleId="FirstParagraph">
    <w:name w:val="First Paragraph"/>
    <w:basedOn w:val="BodyText"/>
    <w:next w:val="BodyText"/>
    <w:qFormat/>
    <w:rsid w:val="00161B9C"/>
  </w:style>
  <w:style w:type="paragraph" w:customStyle="1" w:styleId="Compact">
    <w:name w:val="Compact"/>
    <w:basedOn w:val="BodyText"/>
    <w:qFormat/>
    <w:rsid w:val="00161B9C"/>
    <w:pPr>
      <w:spacing w:before="36" w:after="36"/>
    </w:pPr>
  </w:style>
  <w:style w:type="table" w:customStyle="1" w:styleId="Table">
    <w:name w:val="Table"/>
    <w:semiHidden/>
    <w:unhideWhenUsed/>
    <w:qFormat/>
    <w:rsid w:val="00161B9C"/>
    <w:pPr>
      <w:spacing w:after="200" w:line="240" w:lineRule="auto"/>
    </w:pPr>
    <w:rPr>
      <w:kern w:val="0"/>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ImageCaption">
    <w:name w:val="Image Caption"/>
    <w:basedOn w:val="Caption"/>
    <w:rsid w:val="00161B9C"/>
    <w:pPr>
      <w:spacing w:after="120"/>
    </w:pPr>
    <w:rPr>
      <w:iCs w:val="0"/>
      <w:color w:val="auto"/>
      <w:sz w:val="24"/>
      <w:szCs w:val="24"/>
    </w:rPr>
  </w:style>
  <w:style w:type="paragraph" w:styleId="Caption">
    <w:name w:val="caption"/>
    <w:basedOn w:val="Normal"/>
    <w:next w:val="Normal"/>
    <w:uiPriority w:val="35"/>
    <w:semiHidden/>
    <w:unhideWhenUsed/>
    <w:qFormat/>
    <w:rsid w:val="00161B9C"/>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2313</Words>
  <Characters>14582</Characters>
  <Application>Microsoft Office Word</Application>
  <DocSecurity>0</DocSecurity>
  <Lines>263</Lines>
  <Paragraphs>84</Paragraphs>
  <ScaleCrop>false</ScaleCrop>
  <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2026-02-21T00:21:00Z</dcterms:created>
  <dcterms:modified xsi:type="dcterms:W3CDTF">2026-02-21T00:22:00Z</dcterms:modified>
</cp:coreProperties>
</file>