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35FD" w14:textId="77777777" w:rsidR="00AA5A25" w:rsidRDefault="00AA5A25" w:rsidP="00AA5A25">
      <w:pPr>
        <w:pStyle w:val="Heading1"/>
      </w:pPr>
      <w:bookmarkStart w:id="0" w:name="_Toc218514413"/>
      <w:r>
        <w:t>1. AI-Driven Business Automation</w:t>
      </w:r>
      <w:bookmarkEnd w:id="0"/>
    </w:p>
    <w:p w14:paraId="093524BF" w14:textId="77777777" w:rsidR="00AA5A25" w:rsidRDefault="00AA5A25" w:rsidP="00AA5A25">
      <w:pPr>
        <w:pStyle w:val="Heading2"/>
      </w:pPr>
      <w:bookmarkStart w:id="1" w:name="_Toc218514414"/>
      <w:bookmarkStart w:id="2" w:name="introduction"/>
      <w:r>
        <w:t>1.1 Introduction</w:t>
      </w:r>
      <w:bookmarkEnd w:id="1"/>
    </w:p>
    <w:p w14:paraId="56CF7433" w14:textId="77777777" w:rsidR="00AA5A25" w:rsidRDefault="00AA5A25" w:rsidP="00AA5A25">
      <w:pPr>
        <w:pStyle w:val="FirstParagraph"/>
      </w:pPr>
      <w:r>
        <w:rPr>
          <w:noProof/>
        </w:rPr>
        <w:drawing>
          <wp:inline distT="0" distB="0" distL="0" distR="0" wp14:anchorId="379D3A96" wp14:editId="25DD4EBB">
            <wp:extent cx="2390775" cy="2552700"/>
            <wp:effectExtent l="0" t="0" r="0" b="0"/>
            <wp:docPr id="24" name="Picture" descr="A robot standing in a room with a table with tablet computers&#10;"/>
            <wp:cNvGraphicFramePr/>
            <a:graphic xmlns:a="http://schemas.openxmlformats.org/drawingml/2006/main">
              <a:graphicData uri="http://schemas.openxmlformats.org/drawingml/2006/picture">
                <pic:pic xmlns:pic="http://schemas.openxmlformats.org/drawingml/2006/picture">
                  <pic:nvPicPr>
                    <pic:cNvPr id="24" name="Picture" descr="A robot standing in a room with a table with tablet computers&#10;"/>
                    <pic:cNvPicPr>
                      <a:picLocks noChangeAspect="1" noChangeArrowheads="1"/>
                    </pic:cNvPicPr>
                  </pic:nvPicPr>
                  <pic:blipFill>
                    <a:blip r:embed="rId4"/>
                    <a:stretch>
                      <a:fillRect/>
                    </a:stretch>
                  </pic:blipFill>
                  <pic:spPr bwMode="auto">
                    <a:xfrm>
                      <a:off x="0" y="0"/>
                      <a:ext cx="2391003" cy="2552943"/>
                    </a:xfrm>
                    <a:prstGeom prst="rect">
                      <a:avLst/>
                    </a:prstGeom>
                    <a:noFill/>
                    <a:ln w="9525">
                      <a:noFill/>
                      <a:headEnd/>
                      <a:tailEnd/>
                    </a:ln>
                  </pic:spPr>
                </pic:pic>
              </a:graphicData>
            </a:graphic>
          </wp:inline>
        </w:drawing>
      </w:r>
    </w:p>
    <w:p w14:paraId="6FA9A6EF" w14:textId="77777777" w:rsidR="00AA5A25" w:rsidRDefault="00AA5A25" w:rsidP="00AA5A25">
      <w:pPr>
        <w:pStyle w:val="BodyText"/>
      </w:pPr>
      <w:r>
        <w:t>Think about your morning routine. You might ask Siri to set a reminder, check your bank app for account updates, or receive a personalized news feed on your phone. Behind each of these simple interactions, artificial intelligence is working to automate processes that used to require human effort.</w:t>
      </w:r>
    </w:p>
    <w:p w14:paraId="5A7619EE" w14:textId="77777777" w:rsidR="00AA5A25" w:rsidRDefault="00AA5A25" w:rsidP="00AA5A25">
      <w:pPr>
        <w:pStyle w:val="BodyText"/>
      </w:pPr>
      <w:r>
        <w:t>This is the reality of AI-driven business automation – technology that can think, learn, and make decisions to handle tasks that once needed human intelligence. Unlike the simple automation of the past, today’s AI systems can understand natural language, recognize patterns, and adapt to new situations.</w:t>
      </w:r>
    </w:p>
    <w:p w14:paraId="7FCDAA15" w14:textId="77777777" w:rsidR="00AA5A25" w:rsidRDefault="00AA5A25" w:rsidP="00AA5A25">
      <w:pPr>
        <w:pStyle w:val="BodyText"/>
      </w:pPr>
      <w:r>
        <w:t xml:space="preserve">The numbers tell an impressive story. Companies using AI automation report reducing processing time by up to 80% while improving accuracy to over 95% </w:t>
      </w:r>
      <w:hyperlink w:anchor="ref-1">
        <w:r>
          <w:rPr>
            <w:rStyle w:val="Hyperlink"/>
          </w:rPr>
          <w:t>[1]</w:t>
        </w:r>
      </w:hyperlink>
      <w:r>
        <w:t>. More importantly, these businesses aren’t just doing things faster – they’re discovering entirely new ways to serve customers and create value.</w:t>
      </w:r>
    </w:p>
    <w:p w14:paraId="1002D3AE" w14:textId="77777777" w:rsidR="00AA5A25" w:rsidRDefault="00AA5A25" w:rsidP="00AA5A25">
      <w:pPr>
        <w:pStyle w:val="BodyText"/>
      </w:pPr>
      <w:r>
        <w:t xml:space="preserve">Consider Netflix’s recommendation system. It doesn’t just suggest random movies; it learns your preferences, analyzes viewing patterns, and predicts what you’ll enjoy watching next. This AI automation has become so effective that 80% of what people watch on Netflix comes from these personalized recommendations </w:t>
      </w:r>
      <w:hyperlink w:anchor="ref-2">
        <w:r>
          <w:rPr>
            <w:rStyle w:val="Hyperlink"/>
          </w:rPr>
          <w:t>[2]</w:t>
        </w:r>
      </w:hyperlink>
      <w:r>
        <w:t>.</w:t>
      </w:r>
    </w:p>
    <w:p w14:paraId="577F6AFD" w14:textId="77777777" w:rsidR="00AA5A25" w:rsidRDefault="00AA5A25" w:rsidP="00AA5A25">
      <w:pPr>
        <w:pStyle w:val="BodyText"/>
      </w:pPr>
      <w:r>
        <w:t>But what makes AI automation different from the automation we’ve had for decades? How do you know which business processes are ready for AI? And what tools are making this transformation possible? This chapter will answer these fundamental questions and give you the foundation to understand AI automation in business.</w:t>
      </w:r>
    </w:p>
    <w:p w14:paraId="4E384F44" w14:textId="77777777" w:rsidR="00AA5A25" w:rsidRDefault="00AA5A25" w:rsidP="00AA5A25">
      <w:pPr>
        <w:pStyle w:val="Heading2"/>
      </w:pPr>
      <w:bookmarkStart w:id="3" w:name="_Toc218514415"/>
      <w:bookmarkStart w:id="4" w:name="X3d4dc7f3374036450bf8bb8769eedb5a9871eb1"/>
      <w:bookmarkEnd w:id="2"/>
      <w:r>
        <w:t>1.2 Understanding Business Process Automation</w:t>
      </w:r>
      <w:bookmarkEnd w:id="3"/>
    </w:p>
    <w:p w14:paraId="6145B7FF" w14:textId="77777777" w:rsidR="00AA5A25" w:rsidRDefault="00AA5A25" w:rsidP="00AA5A25">
      <w:pPr>
        <w:pStyle w:val="Heading3"/>
      </w:pPr>
      <w:bookmarkStart w:id="5" w:name="_Toc218514416"/>
      <w:bookmarkStart w:id="6" w:name="what-is-business-process-automation"/>
      <w:r>
        <w:t>1.2.1 What is Business Process Automation?</w:t>
      </w:r>
      <w:bookmarkEnd w:id="5"/>
    </w:p>
    <w:p w14:paraId="4AB098BD" w14:textId="77777777" w:rsidR="00AA5A25" w:rsidRDefault="00AA5A25" w:rsidP="00AA5A25">
      <w:pPr>
        <w:pStyle w:val="FirstParagraph"/>
      </w:pPr>
      <w:r>
        <w:t>Business process automation means using technology to handle tasks that people used to do manually. Think of it as teaching computers to do routine work so humans can focus on more creative and strategic activities.</w:t>
      </w:r>
    </w:p>
    <w:p w14:paraId="73E06219" w14:textId="77777777" w:rsidR="00AA5A25" w:rsidRDefault="00AA5A25" w:rsidP="00AA5A25">
      <w:pPr>
        <w:pStyle w:val="BodyText"/>
      </w:pPr>
      <w:r>
        <w:t>Traditional automation has been around for decades. Assembly lines in factories, automatic bill payments, and email autoreplies are all examples of basic automation. These systems follow simple rules: “If this happens, then do that.” They work well for predictable, repetitive tasks but struggle when situations change or unexpected problems arise.</w:t>
      </w:r>
    </w:p>
    <w:p w14:paraId="02205850" w14:textId="77777777" w:rsidR="00AA5A25" w:rsidRDefault="00AA5A25" w:rsidP="00AA5A25">
      <w:pPr>
        <w:pStyle w:val="BodyText"/>
      </w:pPr>
      <w:r>
        <w:t>AI automation takes this concept much further. Instead of just following rules, AI systems can learn from experience, understand context, and make intelligent decisions. They can handle messy, real-world situations that would confuse traditional automation systems.</w:t>
      </w:r>
    </w:p>
    <w:p w14:paraId="2DE8B906" w14:textId="77777777" w:rsidR="00AA5A25" w:rsidRDefault="00AA5A25" w:rsidP="00AA5A25">
      <w:pPr>
        <w:pStyle w:val="Heading3"/>
      </w:pPr>
      <w:bookmarkStart w:id="7" w:name="_Toc218514417"/>
      <w:bookmarkStart w:id="8" w:name="key-capabilities-of-ai-automation"/>
      <w:bookmarkEnd w:id="6"/>
      <w:r>
        <w:t>1.2.2 Key Capabilities of AI Automation</w:t>
      </w:r>
      <w:bookmarkEnd w:id="7"/>
    </w:p>
    <w:p w14:paraId="540EEB5B" w14:textId="77777777" w:rsidR="00AA5A25" w:rsidRDefault="00AA5A25" w:rsidP="00AA5A25">
      <w:pPr>
        <w:pStyle w:val="FirstParagraph"/>
      </w:pPr>
      <w:r>
        <w:rPr>
          <w:noProof/>
        </w:rPr>
        <w:drawing>
          <wp:inline distT="0" distB="0" distL="0" distR="0" wp14:anchorId="3622254A" wp14:editId="56FD5B0D">
            <wp:extent cx="4800600" cy="3200400"/>
            <wp:effectExtent l="0" t="0" r="0" b="0"/>
            <wp:docPr id="29" name="Picture" descr="Key capabilities of automation - language, experience, complexity also in text&#10;"/>
            <wp:cNvGraphicFramePr/>
            <a:graphic xmlns:a="http://schemas.openxmlformats.org/drawingml/2006/main">
              <a:graphicData uri="http://schemas.openxmlformats.org/drawingml/2006/picture">
                <pic:pic xmlns:pic="http://schemas.openxmlformats.org/drawingml/2006/picture">
                  <pic:nvPicPr>
                    <pic:cNvPr id="29" name="Picture" descr="Key capabilities of automation - language, experience, complexity also in text&#10;"/>
                    <pic:cNvPicPr>
                      <a:picLocks noChangeAspect="1" noChangeArrowheads="1"/>
                    </pic:cNvPicPr>
                  </pic:nvPicPr>
                  <pic:blipFill>
                    <a:blip r:embed="rId5"/>
                    <a:stretch>
                      <a:fillRect/>
                    </a:stretch>
                  </pic:blipFill>
                  <pic:spPr bwMode="auto">
                    <a:xfrm>
                      <a:off x="0" y="0"/>
                      <a:ext cx="4800600" cy="3200400"/>
                    </a:xfrm>
                    <a:prstGeom prst="rect">
                      <a:avLst/>
                    </a:prstGeom>
                    <a:noFill/>
                    <a:ln w="9525">
                      <a:noFill/>
                      <a:headEnd/>
                      <a:tailEnd/>
                    </a:ln>
                  </pic:spPr>
                </pic:pic>
              </a:graphicData>
            </a:graphic>
          </wp:inline>
        </w:drawing>
      </w:r>
    </w:p>
    <w:p w14:paraId="5B67DA2C" w14:textId="77777777" w:rsidR="00AA5A25" w:rsidRDefault="00AA5A25" w:rsidP="00AA5A25">
      <w:pPr>
        <w:pStyle w:val="BodyText"/>
      </w:pPr>
      <w:r>
        <w:t>Artificial intelligence has several key capabilities that make it powerful in real-world applications. Understanding natural language means that AI can read and interpret human communication. For example, a customer service AI can understand a statement like, “My order is late and I’m frustrated,” and respond appropriately, addressing the customer’s concerns. Learning from experience allows AI systems to improve over time by analyzing patterns in the data they encounter. A practical example of this is Amazon’s warehouse robots, which enhance efficiency by learning from millions of package movements. Finally, handling complexity refers to AI’s ability to consider multiple factors simultaneously when making decisions. For instance, supply chain AI can analyze weather conditions, supplier availability, costs, and consumer demand all at once to optimize operations.</w:t>
      </w:r>
    </w:p>
    <w:p w14:paraId="3A29BB34" w14:textId="77777777" w:rsidR="00AA5A25" w:rsidRDefault="00AA5A25" w:rsidP="00AA5A25">
      <w:pPr>
        <w:pStyle w:val="Heading3"/>
      </w:pPr>
      <w:bookmarkStart w:id="9" w:name="_Toc218514418"/>
      <w:bookmarkStart w:id="10" w:name="real-world-examples"/>
      <w:bookmarkEnd w:id="8"/>
      <w:r>
        <w:t>1.2.3 Real-World Examples</w:t>
      </w:r>
      <w:bookmarkEnd w:id="9"/>
    </w:p>
    <w:p w14:paraId="6DFF7EF9" w14:textId="77777777" w:rsidR="00AA5A25" w:rsidRDefault="00AA5A25" w:rsidP="00AA5A25">
      <w:pPr>
        <w:pStyle w:val="FirstParagraph"/>
      </w:pPr>
      <w:r>
        <w:t>AI automation is transforming many common business processes in significant ways. In smart customer service, traditional systems route calls based on menu selections, but AI-enhanced systems can analyze voice emotion, understand customer questions, and connect callers to the right solution. For example, Bank of America’s virtual assistant Erica handles over 1 billion customer requests per year [3]. In intelligent document processing, employees traditionally type invoice information manually into computer systems. With AI, documents are read automatically, key information is extracted, and databases are updated without human intervention. JPMorgan Chase now analyzes legal documents in seconds—work that previously required 360,000 lawyer hours annually [4]. Finally, in predictive maintenance, organizations used to wait for equipment to break down before fixing it. AI systems can now predict failures by analyzing sensor data and usage patterns, reducing unexpected downtime by up to 50% in manufacturing [5].</w:t>
      </w:r>
    </w:p>
    <w:p w14:paraId="7DB7026D" w14:textId="77777777" w:rsidR="00AA5A25" w:rsidRDefault="00AA5A25" w:rsidP="00AA5A25">
      <w:pPr>
        <w:pStyle w:val="Heading3"/>
      </w:pPr>
      <w:bookmarkStart w:id="11" w:name="_Toc218514419"/>
      <w:bookmarkStart w:id="12" w:name="the-automation-maturity-journey"/>
      <w:bookmarkEnd w:id="10"/>
      <w:r>
        <w:t>1.2.4 The Automation Maturity Journey</w:t>
      </w:r>
      <w:bookmarkEnd w:id="11"/>
    </w:p>
    <w:p w14:paraId="70E5060E" w14:textId="77777777" w:rsidR="00AA5A25" w:rsidRDefault="00AA5A25" w:rsidP="00AA5A25">
      <w:pPr>
        <w:pStyle w:val="FirstParagraph"/>
      </w:pPr>
      <w:r>
        <w:t>Organizations typically progress through three distinct levels as they adopt more sophisticated automation. Level 1, Basic Task Automation, involves simple, rule-based processes such as automatic email responses or scheduled reports. These systems handle routine work but still require human intervention for exceptions. Level 2, Process Orchestration, occurs when multiple automated tasks work together. For example, when you order online, systems can automatically verify payment, update inventory, generate shipping labels, and send confirmations without manual effort. Level 3, Intelligent Optimization, is where AI systems not only execute processes but continuously improve them. They can identify bottlenecks, predict problems, and optimize performance in real time, adapting to new information as it becomes available.</w:t>
      </w:r>
    </w:p>
    <w:p w14:paraId="1D264E09" w14:textId="77777777" w:rsidR="00AA5A25" w:rsidRDefault="00AA5A25" w:rsidP="00AA5A25">
      <w:pPr>
        <w:pStyle w:val="Heading2"/>
      </w:pPr>
      <w:bookmarkStart w:id="13" w:name="_Toc218514420"/>
      <w:bookmarkStart w:id="14" w:name="X26cd9a491c97a0a2ff86de75acb41a6a2df1d4f"/>
      <w:bookmarkEnd w:id="4"/>
      <w:bookmarkEnd w:id="12"/>
      <w:r>
        <w:t>1.3 AI-Driven vs. Traditional Rule-Based Automation</w:t>
      </w:r>
      <w:bookmarkEnd w:id="13"/>
    </w:p>
    <w:p w14:paraId="618C67FD" w14:textId="77777777" w:rsidR="00AA5A25" w:rsidRDefault="00AA5A25" w:rsidP="00AA5A25">
      <w:pPr>
        <w:pStyle w:val="FirstParagraph"/>
      </w:pPr>
      <w:r>
        <w:rPr>
          <w:noProof/>
        </w:rPr>
        <w:drawing>
          <wp:inline distT="0" distB="0" distL="0" distR="0" wp14:anchorId="509AF363" wp14:editId="63780BDB">
            <wp:extent cx="4800600" cy="3242510"/>
            <wp:effectExtent l="0" t="0" r="0" b="0"/>
            <wp:docPr id="36" name="Picture" descr="A diagram of a scale with one side ai automation (data heavy, opaque, bias, upkeep, expensive) and other side traditional automation (min data, understandable, reliable, low cost, predictable)&#10;"/>
            <wp:cNvGraphicFramePr/>
            <a:graphic xmlns:a="http://schemas.openxmlformats.org/drawingml/2006/main">
              <a:graphicData uri="http://schemas.openxmlformats.org/drawingml/2006/picture">
                <pic:pic xmlns:pic="http://schemas.openxmlformats.org/drawingml/2006/picture">
                  <pic:nvPicPr>
                    <pic:cNvPr id="36" name="Picture" descr="A diagram of a scale with one side ai automation (data heavy, opaque, bias, upkeep, expensive) and other side traditional automation (min data, understandable, reliable, low cost, predictable)&#10;"/>
                    <pic:cNvPicPr>
                      <a:picLocks noChangeAspect="1" noChangeArrowheads="1"/>
                    </pic:cNvPicPr>
                  </pic:nvPicPr>
                  <pic:blipFill>
                    <a:blip r:embed="rId6"/>
                    <a:stretch>
                      <a:fillRect/>
                    </a:stretch>
                  </pic:blipFill>
                  <pic:spPr bwMode="auto">
                    <a:xfrm>
                      <a:off x="0" y="0"/>
                      <a:ext cx="4800600" cy="3242510"/>
                    </a:xfrm>
                    <a:prstGeom prst="rect">
                      <a:avLst/>
                    </a:prstGeom>
                    <a:noFill/>
                    <a:ln w="9525">
                      <a:noFill/>
                      <a:headEnd/>
                      <a:tailEnd/>
                    </a:ln>
                  </pic:spPr>
                </pic:pic>
              </a:graphicData>
            </a:graphic>
          </wp:inline>
        </w:drawing>
      </w:r>
    </w:p>
    <w:p w14:paraId="627E4201" w14:textId="77777777" w:rsidR="00AA5A25" w:rsidRDefault="00AA5A25" w:rsidP="00AA5A25">
      <w:pPr>
        <w:pStyle w:val="BodyText"/>
      </w:pPr>
      <w:r>
        <w:t>Understanding the difference between traditional and AI automation is crucial for recognizing when each approach works best. The fundamental distinction lies in how they handle unexpected situations and make decisions.</w:t>
      </w:r>
    </w:p>
    <w:p w14:paraId="20B70C30" w14:textId="77777777" w:rsidR="00AA5A25" w:rsidRDefault="00AA5A25" w:rsidP="00AA5A25">
      <w:pPr>
        <w:pStyle w:val="Heading3"/>
      </w:pPr>
      <w:bookmarkStart w:id="15" w:name="_Toc218514421"/>
      <w:bookmarkStart w:id="16" w:name="X04a9cc1113a359f5f4789993e56f688d4f10891"/>
      <w:r>
        <w:t>1.3.1 The Core Difference: Flexibility vs. Consistency</w:t>
      </w:r>
      <w:bookmarkEnd w:id="15"/>
    </w:p>
    <w:p w14:paraId="295B4F87" w14:textId="77777777" w:rsidR="00AA5A25" w:rsidRDefault="00AA5A25" w:rsidP="00AA5A25">
      <w:pPr>
        <w:pStyle w:val="FirstParagraph"/>
      </w:pPr>
      <w:r>
        <w:t>The core difference between traditional automation and AI automation lies in flexibility versus consistency. Traditional automation follows a strict script: if the script does not cover a particular situation, the system fails or requires human intervention. It is like following a recipe exactly—if one ingredient is missing, the process comes to a halt. In contrast, AI automation can adapt and make reasonable decisions even in new situations. It behaves like a skilled cook who can substitute ingredients and adjust techniques based on what is available and what will produce the best result.</w:t>
      </w:r>
    </w:p>
    <w:p w14:paraId="2F06A976" w14:textId="77777777" w:rsidR="00AA5A25" w:rsidRDefault="00AA5A25" w:rsidP="00AA5A25">
      <w:pPr>
        <w:pStyle w:val="Heading3"/>
      </w:pPr>
      <w:bookmarkStart w:id="17" w:name="_Toc218514422"/>
      <w:bookmarkStart w:id="18" w:name="Xd64b5284e9294d042b15a895e3f4baddd085036"/>
      <w:bookmarkEnd w:id="16"/>
      <w:r>
        <w:t>1.3.2 Comparing Traditional and AI Automation in Business Processes</w:t>
      </w:r>
      <w:bookmarkEnd w:id="17"/>
    </w:p>
    <w:p w14:paraId="2D9FEF48" w14:textId="77777777" w:rsidR="00AA5A25" w:rsidRDefault="00AA5A25" w:rsidP="00AA5A25">
      <w:pPr>
        <w:pStyle w:val="FirstParagraph"/>
      </w:pPr>
      <w:r>
        <w:t>Email customer service provides a clear example of how traditional automation and AI automation differ. Traditional systems typically scan specific keywords and respond using pre-written templates. They cannot detect customer frustration, remain the same unless manually updated, and often fail or forward unusual situations to human agents. In contrast, AI-powered systems understand the meaning and intent behind messages, provide personalized and contextual responses, adjust their tone based on customer emotions, improve with every interaction, and adapt to new situations without explicit reprogramming.</w:t>
      </w:r>
    </w:p>
    <w:p w14:paraId="6BAB67B5" w14:textId="77777777" w:rsidR="00AA5A25" w:rsidRDefault="00AA5A25" w:rsidP="00AA5A25">
      <w:pPr>
        <w:pStyle w:val="BodyText"/>
      </w:pPr>
      <w:r>
        <w:t>The COVID-19 pandemic offered a real-world test of automation flexibility. When business conditions changed rapidly, traditional systems struggled and required extensive manual reprogramming to accommodate new payment terms, modified services, and altered processes. AI systems, however, adapted gracefully: customer service chatbots quickly learned to handle pandemic-related questions, and supply chain AI automatically identified alternative suppliers and shipping routes when disruptions occurred [6].</w:t>
      </w:r>
    </w:p>
    <w:p w14:paraId="29B680B1" w14:textId="77777777" w:rsidR="00AA5A25" w:rsidRDefault="00AA5A25" w:rsidP="00AA5A25">
      <w:pPr>
        <w:pStyle w:val="BodyText"/>
      </w:pPr>
      <w:r>
        <w:t>Decision-making approaches also highlight the differences. Traditional automation relies on binary decisions—yes or no based on exact criteria—and fixed rules such as “if credit score is greater than 700, approve loan.” The outcomes are predictable, with the same input always producing the same result. AI automation, on the other hand, makes contextual decisions, weighing multiple factors and probabilities. It uses pattern analysis that considers credit score, spending habits, employment history, and broader economic trends, resulting in adaptive outcomes where the same input may produce different outputs depending on the context.</w:t>
      </w:r>
    </w:p>
    <w:p w14:paraId="5973DC8B" w14:textId="77777777" w:rsidR="00AA5A25" w:rsidRDefault="00AA5A25" w:rsidP="00AA5A25">
      <w:pPr>
        <w:pStyle w:val="Heading3"/>
      </w:pPr>
      <w:bookmarkStart w:id="19" w:name="_Toc218514423"/>
      <w:bookmarkStart w:id="20" w:name="when-to-choose-each-approach"/>
      <w:bookmarkEnd w:id="18"/>
      <w:r>
        <w:t>1.3.3 When to Choose Each Approach</w:t>
      </w:r>
      <w:bookmarkEnd w:id="19"/>
    </w:p>
    <w:p w14:paraId="4CE09CF5" w14:textId="77777777" w:rsidR="00AA5A25" w:rsidRDefault="00AA5A25" w:rsidP="00AA5A25">
      <w:pPr>
        <w:pStyle w:val="FirstParagraph"/>
      </w:pPr>
      <w:r>
        <w:t>Traditional automation is the best choice when a process is highly predictable and rarely changes, when guaranteed, consistent results are required every time, when the rules are simple and well-defined, when cost is a primary concern—since traditional automation is usually cheaper to implement—and when regulatory compliance demands exact, auditable processes. In contrast, AI automation is preferable when a process involves judgment calls or interpretation, when you are working with unstructured data such as emails, documents, or images, when the environment changes frequently, when you want the system to improve over time, or when customer experience and personalization are priorities.</w:t>
      </w:r>
    </w:p>
    <w:p w14:paraId="5FF24263" w14:textId="77777777" w:rsidR="00AA5A25" w:rsidRDefault="00AA5A25" w:rsidP="00AA5A25">
      <w:pPr>
        <w:pStyle w:val="Heading3"/>
      </w:pPr>
      <w:bookmarkStart w:id="21" w:name="_Toc218514424"/>
      <w:bookmarkStart w:id="22" w:name="understanding-the-limitations"/>
      <w:bookmarkEnd w:id="20"/>
      <w:r>
        <w:t>1.3.4 Understanding the Limitations</w:t>
      </w:r>
      <w:bookmarkEnd w:id="21"/>
    </w:p>
    <w:p w14:paraId="6BE9B291" w14:textId="77777777" w:rsidR="00AA5A25" w:rsidRDefault="00AA5A25" w:rsidP="00AA5A25">
      <w:pPr>
        <w:pStyle w:val="FirstParagraph"/>
      </w:pPr>
      <w:r>
        <w:t>While AI automation offers impressive capabilities, it is important to understand its limitations. AI systems require large amounts of high-quality data to learn effectively, can be difficult to explain in terms of how decisions are made, may perpetuate biases present in the training data, and need ongoing monitoring and maintenance. Additionally, implementing and maintaining AI can be expensive.</w:t>
      </w:r>
    </w:p>
    <w:p w14:paraId="7F746660" w14:textId="77777777" w:rsidR="00AA5A25" w:rsidRDefault="00AA5A25" w:rsidP="00AA5A25">
      <w:pPr>
        <w:pStyle w:val="BodyText"/>
      </w:pPr>
      <w:r>
        <w:t>Traditional automation, on the other hand, has several advantages. It is completely predictable and auditable, generally involves lower implementation and maintenance costs, works well with limited data, is easy to understand and troubleshoot, and is highly reliable for compliance-critical processes.</w:t>
      </w:r>
    </w:p>
    <w:p w14:paraId="2F885AE6" w14:textId="77777777" w:rsidR="00AA5A25" w:rsidRDefault="00AA5A25" w:rsidP="00AA5A25">
      <w:pPr>
        <w:pStyle w:val="Heading2"/>
      </w:pPr>
      <w:bookmarkStart w:id="23" w:name="_Toc218514425"/>
      <w:bookmarkStart w:id="24" w:name="X5798c05c4a62379c8451923b0d5f95c8191f0b0"/>
      <w:bookmarkEnd w:id="14"/>
      <w:bookmarkEnd w:id="22"/>
      <w:r>
        <w:t>1.4 Categorizing Business Processes for AI Automation</w:t>
      </w:r>
      <w:bookmarkEnd w:id="23"/>
    </w:p>
    <w:p w14:paraId="1D14044C" w14:textId="77777777" w:rsidR="00AA5A25" w:rsidRDefault="00AA5A25" w:rsidP="00AA5A25">
      <w:pPr>
        <w:pStyle w:val="FirstParagraph"/>
      </w:pPr>
      <w:r>
        <w:t>Not every business process benefits from AI automation. Smart organizations use a systematic approach to identify the best opportunities and avoid costly mistakes. This section will help you develop that evaluation framework.</w:t>
      </w:r>
    </w:p>
    <w:p w14:paraId="23F589D0" w14:textId="77777777" w:rsidR="00AA5A25" w:rsidRDefault="00AA5A25" w:rsidP="00AA5A25">
      <w:pPr>
        <w:pStyle w:val="Heading3"/>
      </w:pPr>
      <w:bookmarkStart w:id="25" w:name="_Toc218514426"/>
      <w:bookmarkStart w:id="26" w:name="the-ai-suitability-framework"/>
      <w:r>
        <w:t>1.4.1 The AI Suitability Framework</w:t>
      </w:r>
      <w:bookmarkEnd w:id="25"/>
    </w:p>
    <w:p w14:paraId="1DB4BEDD" w14:textId="77777777" w:rsidR="00AA5A25" w:rsidRDefault="00AA5A25" w:rsidP="00AA5A25">
      <w:pPr>
        <w:pStyle w:val="FirstParagraph"/>
      </w:pPr>
      <w:r>
        <w:rPr>
          <w:noProof/>
        </w:rPr>
        <w:drawing>
          <wp:inline distT="0" distB="0" distL="0" distR="0" wp14:anchorId="0F6BCA2C" wp14:editId="3537A5E5">
            <wp:extent cx="5638800" cy="2152650"/>
            <wp:effectExtent l="0" t="0" r="0" b="0"/>
            <wp:docPr id="44" name="Picture" descr="AI suitability image - high, medium, low as discussed in text&#10;"/>
            <wp:cNvGraphicFramePr/>
            <a:graphic xmlns:a="http://schemas.openxmlformats.org/drawingml/2006/main">
              <a:graphicData uri="http://schemas.openxmlformats.org/drawingml/2006/picture">
                <pic:pic xmlns:pic="http://schemas.openxmlformats.org/drawingml/2006/picture">
                  <pic:nvPicPr>
                    <pic:cNvPr id="44" name="Picture" descr="AI suitability image - high, medium, low as discussed in text&#10;"/>
                    <pic:cNvPicPr>
                      <a:picLocks noChangeAspect="1" noChangeArrowheads="1"/>
                    </pic:cNvPicPr>
                  </pic:nvPicPr>
                  <pic:blipFill>
                    <a:blip r:embed="rId7"/>
                    <a:stretch>
                      <a:fillRect/>
                    </a:stretch>
                  </pic:blipFill>
                  <pic:spPr bwMode="auto">
                    <a:xfrm>
                      <a:off x="0" y="0"/>
                      <a:ext cx="5639521" cy="2152925"/>
                    </a:xfrm>
                    <a:prstGeom prst="rect">
                      <a:avLst/>
                    </a:prstGeom>
                    <a:noFill/>
                    <a:ln w="9525">
                      <a:noFill/>
                      <a:headEnd/>
                      <a:tailEnd/>
                    </a:ln>
                  </pic:spPr>
                </pic:pic>
              </a:graphicData>
            </a:graphic>
          </wp:inline>
        </w:drawing>
      </w:r>
    </w:p>
    <w:p w14:paraId="3A0AF702" w14:textId="77777777" w:rsidR="00AA5A25" w:rsidRDefault="00AA5A25" w:rsidP="00AA5A25">
      <w:pPr>
        <w:pStyle w:val="BodyText"/>
      </w:pPr>
      <w:r>
        <w:t>The AI Suitability Framework helps organizations determine which processes are good candidates for AI automation by evaluating three key dimensions: data availability, decision complexity, and business impact. Data availability refers to the quantity and quality of data that can be used for training AI. Processes with rich, varied data sources are highly suitable, while those with some structured data are moderately suitable, and processes with limited or poor-quality data are low-suitability candidates. Decision complexity measures how much judgment or pattern recognition is required. Tasks that require sophisticated analysis and interpretation are ideal for AI, whereas simple, rule-based decisions are better suited for traditional automation. Business impact assesses the importance of the process to the organization. High-volume, customer-facing, or cost-critical processes are highly suitable for AI, moderate-impact tasks fall in the middle, and low-impact or low-risk processes are generally poor candidates.</w:t>
      </w:r>
    </w:p>
    <w:p w14:paraId="51B2CF95" w14:textId="77777777" w:rsidR="00AA5A25" w:rsidRDefault="00AA5A25" w:rsidP="00AA5A25">
      <w:pPr>
        <w:pStyle w:val="BodyText"/>
      </w:pPr>
      <w:r>
        <w:t>High-suitability processes benefit most from AI capabilities. In customer service and support, AI excels because of natural language interactions, personalization needs, and abundant conversation data. AI systems provide 24/7 availability, consistent quality, and continuous learning from interactions. For example, Spotify’s AI can understand a question like, “Why isn’t my family plan working?” and provide personalized troubleshooting. In financial processing and analysis, AI handles large data volumes with high accuracy requirements, enabling real-time fraud detection, automated reporting, and predictive insights. Credit card companies, for instance, can analyze transaction patterns instantly, flagging fraudulent activity while allowing legitimate purchases. Supply chain and inventory management is another high-suitability area because it involves multiple variables, prediction requirements, and optimization opportunities. Walmart, for example, predicts product demand by analyzing weather, events, sales history, and social media trends [7].</w:t>
      </w:r>
    </w:p>
    <w:p w14:paraId="53D26863" w14:textId="77777777" w:rsidR="00AA5A25" w:rsidRDefault="00AA5A25" w:rsidP="00AA5A25">
      <w:pPr>
        <w:pStyle w:val="BodyText"/>
      </w:pPr>
      <w:r>
        <w:t>Medium-suitability processes are partially suitable for AI, often requiring human oversight. In human resources and recruitment, AI can assist with resume screening, candidate matching, and performance pattern analysis, but cultural fit and leadership assessment still require human judgment. The best approach is AI-assisted screening with humans making the final decisions. In marketing and advertising, AI can optimize campaigns, target audiences, and personalize content, while creative strategy and brand messaging remain human-led. Quality control and compliance can benefit from AI in pattern recognition, anomaly detection, and consistency checking, but complex regulation interpretation and ethical considerations necessitate expert human review.</w:t>
      </w:r>
    </w:p>
    <w:p w14:paraId="49FB6EF6" w14:textId="77777777" w:rsidR="00AA5A25" w:rsidRDefault="00AA5A25" w:rsidP="00AA5A25">
      <w:pPr>
        <w:pStyle w:val="BodyText"/>
      </w:pPr>
      <w:r>
        <w:t xml:space="preserve">Low-suitability processes are those where AI currently plays a supporting role rather than a primary one. Strategic planning and leadership require human judgment, ethical reasoning, and management of stakeholder relationships; AI can assist through data analysis and scenario modeling. Creative and </w:t>
      </w:r>
      <w:proofErr w:type="gramStart"/>
      <w:r>
        <w:t>innovation</w:t>
      </w:r>
      <w:proofErr w:type="gramEnd"/>
      <w:r>
        <w:t xml:space="preserve"> work demands breakthrough thinking, emotional intelligence, and cultural sensitivity, with AI serving as a research or idea-generation tool. Finally, complex relationship management, including negotiation, conflict resolution, and trust-building, remains human-driven, though AI can provide background research and communication insights to support decision-making.</w:t>
      </w:r>
    </w:p>
    <w:p w14:paraId="4DDCBAC5" w14:textId="77777777" w:rsidR="00AA5A25" w:rsidRDefault="00AA5A25" w:rsidP="00AA5A25">
      <w:pPr>
        <w:pStyle w:val="Heading3"/>
      </w:pPr>
      <w:bookmarkStart w:id="27" w:name="_Toc218514427"/>
      <w:bookmarkStart w:id="28" w:name="implementation-priority-matrix"/>
      <w:bookmarkEnd w:id="26"/>
      <w:r>
        <w:t>1.4.2 Implementation Priority Matrix</w:t>
      </w:r>
      <w:bookmarkEnd w:id="27"/>
    </w:p>
    <w:tbl>
      <w:tblPr>
        <w:tblStyle w:val="Table"/>
        <w:tblW w:w="5000" w:type="pct"/>
        <w:tblLayout w:type="fixed"/>
        <w:tblLook w:val="0000" w:firstRow="0" w:lastRow="0" w:firstColumn="0" w:lastColumn="0" w:noHBand="0" w:noVBand="0"/>
      </w:tblPr>
      <w:tblGrid>
        <w:gridCol w:w="9360"/>
      </w:tblGrid>
      <w:tr w:rsidR="00AA5A25" w14:paraId="17A187E8" w14:textId="77777777" w:rsidTr="00C87320">
        <w:tc>
          <w:tcPr>
            <w:tcW w:w="7920" w:type="dxa"/>
          </w:tcPr>
          <w:p w14:paraId="27F5E485" w14:textId="77777777" w:rsidR="00AA5A25" w:rsidRDefault="00AA5A25" w:rsidP="00C87320">
            <w:pPr>
              <w:pStyle w:val="ImageCaption"/>
              <w:spacing w:before="200"/>
            </w:pPr>
            <w:bookmarkStart w:id="29" w:name="tbl-ai-suitability"/>
            <w:r>
              <w:t>Table 1.1: Business Impact vs. AI Suitability Matrix</w:t>
            </w:r>
          </w:p>
          <w:tbl>
            <w:tblPr>
              <w:tblStyle w:val="Table"/>
              <w:tblW w:w="5000" w:type="pct"/>
              <w:tblLayout w:type="fixed"/>
              <w:tblLook w:val="0020" w:firstRow="1" w:lastRow="0" w:firstColumn="0" w:lastColumn="0" w:noHBand="0" w:noVBand="0"/>
            </w:tblPr>
            <w:tblGrid>
              <w:gridCol w:w="924"/>
              <w:gridCol w:w="2831"/>
              <w:gridCol w:w="2831"/>
              <w:gridCol w:w="2558"/>
            </w:tblGrid>
            <w:tr w:rsidR="00AA5A25" w14:paraId="514FDE61"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801" w:type="dxa"/>
                </w:tcPr>
                <w:p w14:paraId="1F4C8AB3" w14:textId="77777777" w:rsidR="00AA5A25" w:rsidRDefault="00AA5A25" w:rsidP="00C87320">
                  <w:pPr>
                    <w:pStyle w:val="Compact"/>
                    <w:jc w:val="center"/>
                  </w:pPr>
                  <w:r>
                    <w:t>Business Impact</w:t>
                  </w:r>
                </w:p>
              </w:tc>
              <w:tc>
                <w:tcPr>
                  <w:tcW w:w="2451" w:type="dxa"/>
                </w:tcPr>
                <w:p w14:paraId="5671BA56" w14:textId="77777777" w:rsidR="00AA5A25" w:rsidRDefault="00AA5A25" w:rsidP="00C87320">
                  <w:pPr>
                    <w:pStyle w:val="Compact"/>
                    <w:jc w:val="center"/>
                  </w:pPr>
                  <w:r>
                    <w:t>High Suitability</w:t>
                  </w:r>
                </w:p>
              </w:tc>
              <w:tc>
                <w:tcPr>
                  <w:tcW w:w="2451" w:type="dxa"/>
                </w:tcPr>
                <w:p w14:paraId="64064FC1" w14:textId="77777777" w:rsidR="00AA5A25" w:rsidRDefault="00AA5A25" w:rsidP="00C87320">
                  <w:pPr>
                    <w:pStyle w:val="Compact"/>
                    <w:jc w:val="center"/>
                  </w:pPr>
                  <w:r>
                    <w:t>Medium Suitability</w:t>
                  </w:r>
                </w:p>
              </w:tc>
              <w:tc>
                <w:tcPr>
                  <w:tcW w:w="2215" w:type="dxa"/>
                </w:tcPr>
                <w:p w14:paraId="612E8923" w14:textId="77777777" w:rsidR="00AA5A25" w:rsidRDefault="00AA5A25" w:rsidP="00C87320">
                  <w:pPr>
                    <w:pStyle w:val="Compact"/>
                    <w:jc w:val="center"/>
                  </w:pPr>
                  <w:r>
                    <w:t>Low Suitability</w:t>
                  </w:r>
                </w:p>
              </w:tc>
            </w:tr>
            <w:tr w:rsidR="00AA5A25" w14:paraId="0DF741C6" w14:textId="77777777" w:rsidTr="00C87320">
              <w:tc>
                <w:tcPr>
                  <w:tcW w:w="801" w:type="dxa"/>
                </w:tcPr>
                <w:p w14:paraId="001300D7" w14:textId="77777777" w:rsidR="00AA5A25" w:rsidRDefault="00AA5A25" w:rsidP="00C87320">
                  <w:pPr>
                    <w:pStyle w:val="Compact"/>
                    <w:jc w:val="center"/>
                  </w:pPr>
                  <w:r>
                    <w:t>High</w:t>
                  </w:r>
                </w:p>
              </w:tc>
              <w:tc>
                <w:tcPr>
                  <w:tcW w:w="2451" w:type="dxa"/>
                </w:tcPr>
                <w:p w14:paraId="7413E429" w14:textId="77777777" w:rsidR="00AA5A25" w:rsidRDefault="00AA5A25" w:rsidP="00C87320">
                  <w:pPr>
                    <w:pStyle w:val="Compact"/>
                    <w:jc w:val="center"/>
                  </w:pPr>
                  <w:r>
                    <w:t>Start here: Customer service, Financial processing</w:t>
                  </w:r>
                </w:p>
              </w:tc>
              <w:tc>
                <w:tcPr>
                  <w:tcW w:w="2451" w:type="dxa"/>
                </w:tcPr>
                <w:p w14:paraId="3A24F19B" w14:textId="77777777" w:rsidR="00AA5A25" w:rsidRDefault="00AA5A25" w:rsidP="00C87320">
                  <w:pPr>
                    <w:pStyle w:val="Compact"/>
                    <w:jc w:val="center"/>
                  </w:pPr>
                  <w:r>
                    <w:t>Quick wins: Document processing, Basic analytics</w:t>
                  </w:r>
                </w:p>
              </w:tc>
              <w:tc>
                <w:tcPr>
                  <w:tcW w:w="2215" w:type="dxa"/>
                </w:tcPr>
                <w:p w14:paraId="3655A066" w14:textId="77777777" w:rsidR="00AA5A25" w:rsidRDefault="00AA5A25" w:rsidP="00C87320">
                  <w:pPr>
                    <w:pStyle w:val="Compact"/>
                    <w:jc w:val="center"/>
                  </w:pPr>
                  <w:r>
                    <w:t>Consider later: Internal reporting</w:t>
                  </w:r>
                </w:p>
              </w:tc>
            </w:tr>
            <w:tr w:rsidR="00AA5A25" w14:paraId="3F0D236A" w14:textId="77777777" w:rsidTr="00C87320">
              <w:tc>
                <w:tcPr>
                  <w:tcW w:w="801" w:type="dxa"/>
                </w:tcPr>
                <w:p w14:paraId="61A2FECD" w14:textId="77777777" w:rsidR="00AA5A25" w:rsidRDefault="00AA5A25" w:rsidP="00C87320">
                  <w:pPr>
                    <w:pStyle w:val="Compact"/>
                    <w:jc w:val="center"/>
                  </w:pPr>
                  <w:r>
                    <w:t>Medium</w:t>
                  </w:r>
                </w:p>
              </w:tc>
              <w:tc>
                <w:tcPr>
                  <w:tcW w:w="2451" w:type="dxa"/>
                </w:tcPr>
                <w:p w14:paraId="4515EF51" w14:textId="77777777" w:rsidR="00AA5A25" w:rsidRDefault="00AA5A25" w:rsidP="00C87320">
                  <w:pPr>
                    <w:pStyle w:val="Compact"/>
                    <w:jc w:val="center"/>
                  </w:pPr>
                  <w:r>
                    <w:t>Phase 2: HR screening, Marketing optimization</w:t>
                  </w:r>
                </w:p>
              </w:tc>
              <w:tc>
                <w:tcPr>
                  <w:tcW w:w="2451" w:type="dxa"/>
                </w:tcPr>
                <w:p w14:paraId="758ABF07" w14:textId="77777777" w:rsidR="00AA5A25" w:rsidRDefault="00AA5A25" w:rsidP="00C87320">
                  <w:pPr>
                    <w:pStyle w:val="Compact"/>
                    <w:jc w:val="center"/>
                  </w:pPr>
                  <w:r>
                    <w:t>Evaluate ROI: Quality control, Compliance monitoring</w:t>
                  </w:r>
                </w:p>
              </w:tc>
              <w:tc>
                <w:tcPr>
                  <w:tcW w:w="2215" w:type="dxa"/>
                </w:tcPr>
                <w:p w14:paraId="66CF701E" w14:textId="77777777" w:rsidR="00AA5A25" w:rsidRDefault="00AA5A25" w:rsidP="00C87320">
                  <w:pPr>
                    <w:pStyle w:val="Compact"/>
                    <w:jc w:val="center"/>
                  </w:pPr>
                  <w:r>
                    <w:t>Low priority: Internal communications</w:t>
                  </w:r>
                </w:p>
              </w:tc>
            </w:tr>
            <w:tr w:rsidR="00AA5A25" w14:paraId="58C94C8F" w14:textId="77777777" w:rsidTr="00C87320">
              <w:tc>
                <w:tcPr>
                  <w:tcW w:w="801" w:type="dxa"/>
                </w:tcPr>
                <w:p w14:paraId="76145E4A" w14:textId="77777777" w:rsidR="00AA5A25" w:rsidRDefault="00AA5A25" w:rsidP="00C87320">
                  <w:pPr>
                    <w:pStyle w:val="Compact"/>
                    <w:jc w:val="center"/>
                  </w:pPr>
                  <w:r>
                    <w:t>Low</w:t>
                  </w:r>
                </w:p>
              </w:tc>
              <w:tc>
                <w:tcPr>
                  <w:tcW w:w="2451" w:type="dxa"/>
                </w:tcPr>
                <w:p w14:paraId="06723359" w14:textId="77777777" w:rsidR="00AA5A25" w:rsidRDefault="00AA5A25" w:rsidP="00C87320">
                  <w:pPr>
                    <w:pStyle w:val="Compact"/>
                    <w:jc w:val="center"/>
                  </w:pPr>
                  <w:r>
                    <w:t>Human–AI partnership: Strategic planning support</w:t>
                  </w:r>
                </w:p>
              </w:tc>
              <w:tc>
                <w:tcPr>
                  <w:tcW w:w="2451" w:type="dxa"/>
                </w:tcPr>
                <w:p w14:paraId="6628978D" w14:textId="77777777" w:rsidR="00AA5A25" w:rsidRDefault="00AA5A25" w:rsidP="00C87320">
                  <w:pPr>
                    <w:pStyle w:val="Compact"/>
                    <w:jc w:val="center"/>
                  </w:pPr>
                  <w:r>
                    <w:t>AI-assisted: Creative tools, Research help</w:t>
                  </w:r>
                </w:p>
              </w:tc>
              <w:tc>
                <w:tcPr>
                  <w:tcW w:w="2215" w:type="dxa"/>
                </w:tcPr>
                <w:p w14:paraId="3E4ADB3B" w14:textId="77777777" w:rsidR="00AA5A25" w:rsidRDefault="00AA5A25" w:rsidP="00C87320">
                  <w:pPr>
                    <w:pStyle w:val="Compact"/>
                    <w:jc w:val="center"/>
                  </w:pPr>
                  <w:r>
                    <w:t>Avoid: Pure relationship work</w:t>
                  </w:r>
                </w:p>
              </w:tc>
            </w:tr>
            <w:bookmarkEnd w:id="29"/>
          </w:tbl>
          <w:p w14:paraId="3D8AF9E4" w14:textId="77777777" w:rsidR="00AA5A25" w:rsidRDefault="00AA5A25" w:rsidP="00C87320"/>
        </w:tc>
      </w:tr>
    </w:tbl>
    <w:p w14:paraId="2AE78E39" w14:textId="77777777" w:rsidR="00AA5A25" w:rsidRDefault="00AA5A25" w:rsidP="00AA5A25">
      <w:pPr>
        <w:pStyle w:val="Heading3"/>
      </w:pPr>
      <w:bookmarkStart w:id="30" w:name="_Toc218514428"/>
      <w:bookmarkStart w:id="31" w:name="risk-factors-to-consider"/>
      <w:bookmarkEnd w:id="28"/>
      <w:r>
        <w:t>1.4.3 Risk Factors to Consider</w:t>
      </w:r>
      <w:bookmarkEnd w:id="30"/>
    </w:p>
    <w:p w14:paraId="1047EA5D" w14:textId="77777777" w:rsidR="00AA5A25" w:rsidRDefault="00AA5A25" w:rsidP="00AA5A25">
      <w:pPr>
        <w:pStyle w:val="FirstParagraph"/>
      </w:pPr>
      <w:r>
        <w:t>Before implementing AI automation, organizations should carefully evaluate potential risks across technical, business, and ethical dimensions. Technical risks include data quality issues that can lead to poor AI performance, system complexity that makes maintenance difficult, challenges integrating AI with existing systems, and scalability limitations as the business grows. Business risks involve over-reliance on AI for critical decisions, the potential loss of human expertise and institutional knowledge, customer dissatisfaction with impersonal service, and the possibility of a competitive disadvantage if implementation fails. Ethical and legal risks encompass bias in AI decision-making that can affect fairness, privacy concerns related to data collection and use, regulatory compliance challenges, and accountability issues when AI makes mistakes. By understanding these risks upfront, organizations can plan mitigation strategies and ensure AI deployment adds value safely and responsibly.</w:t>
      </w:r>
    </w:p>
    <w:p w14:paraId="31F6BA77" w14:textId="77777777" w:rsidR="00AA5A25" w:rsidRDefault="00AA5A25" w:rsidP="00AA5A25">
      <w:pPr>
        <w:pStyle w:val="Heading2"/>
      </w:pPr>
      <w:bookmarkStart w:id="32" w:name="_Toc218514429"/>
      <w:bookmarkStart w:id="33" w:name="Xa4952cc3a54919f62f98e93bd9dc006491c0a07"/>
      <w:bookmarkEnd w:id="24"/>
      <w:bookmarkEnd w:id="31"/>
      <w:r>
        <w:t>1.5 AI Tools Transforming Business Operations</w:t>
      </w:r>
      <w:bookmarkEnd w:id="32"/>
    </w:p>
    <w:p w14:paraId="615C4869" w14:textId="77777777" w:rsidR="00AA5A25" w:rsidRDefault="00AA5A25" w:rsidP="00AA5A25">
      <w:pPr>
        <w:pStyle w:val="FirstParagraph"/>
      </w:pPr>
      <w:r>
        <w:t xml:space="preserve">The AI automation landscape includes hundreds of tools and platforms. Rather than overwhelming you with options, this section organizes the major categories by business use case and provides a practical framework for understanding what </w:t>
      </w:r>
      <w:proofErr w:type="gramStart"/>
      <w:r>
        <w:t>each type</w:t>
      </w:r>
      <w:proofErr w:type="gramEnd"/>
      <w:r>
        <w:t xml:space="preserve"> of tool does best.</w:t>
      </w:r>
    </w:p>
    <w:p w14:paraId="2C52D48A" w14:textId="77777777" w:rsidR="00AA5A25" w:rsidRDefault="00AA5A25" w:rsidP="00AA5A25">
      <w:pPr>
        <w:pStyle w:val="Heading3"/>
      </w:pPr>
      <w:bookmarkStart w:id="34" w:name="_Toc218514430"/>
      <w:bookmarkStart w:id="35" w:name="ai-tool-categories-by-business-function"/>
      <w:r>
        <w:t>1.5.1 AI Tool Categories by Business Function</w:t>
      </w:r>
      <w:bookmarkEnd w:id="34"/>
    </w:p>
    <w:p w14:paraId="00B0774C" w14:textId="77777777" w:rsidR="00AA5A25" w:rsidRDefault="00AA5A25" w:rsidP="00AA5A25">
      <w:pPr>
        <w:pStyle w:val="FirstParagraph"/>
      </w:pPr>
      <w:r>
        <w:rPr>
          <w:noProof/>
        </w:rPr>
        <w:drawing>
          <wp:inline distT="0" distB="0" distL="0" distR="0" wp14:anchorId="32E4069A" wp14:editId="70DE1590">
            <wp:extent cx="5505450" cy="2238375"/>
            <wp:effectExtent l="0" t="0" r="0" b="0"/>
            <wp:docPr id="52" name="Picture" descr="A colorful squares four sections fo ai tools by business function - process automation, customer interaction, data analytics and document processing&#10;"/>
            <wp:cNvGraphicFramePr/>
            <a:graphic xmlns:a="http://schemas.openxmlformats.org/drawingml/2006/main">
              <a:graphicData uri="http://schemas.openxmlformats.org/drawingml/2006/picture">
                <pic:pic xmlns:pic="http://schemas.openxmlformats.org/drawingml/2006/picture">
                  <pic:nvPicPr>
                    <pic:cNvPr id="52" name="Picture" descr="A colorful squares four sections fo ai tools by business function - process automation, customer interaction, data analytics and document processing&#10;"/>
                    <pic:cNvPicPr>
                      <a:picLocks noChangeAspect="1" noChangeArrowheads="1"/>
                    </pic:cNvPicPr>
                  </pic:nvPicPr>
                  <pic:blipFill>
                    <a:blip r:embed="rId8"/>
                    <a:stretch>
                      <a:fillRect/>
                    </a:stretch>
                  </pic:blipFill>
                  <pic:spPr bwMode="auto">
                    <a:xfrm>
                      <a:off x="0" y="0"/>
                      <a:ext cx="5506768" cy="2238911"/>
                    </a:xfrm>
                    <a:prstGeom prst="rect">
                      <a:avLst/>
                    </a:prstGeom>
                    <a:noFill/>
                    <a:ln w="9525">
                      <a:noFill/>
                      <a:headEnd/>
                      <a:tailEnd/>
                    </a:ln>
                  </pic:spPr>
                </pic:pic>
              </a:graphicData>
            </a:graphic>
          </wp:inline>
        </w:drawing>
      </w:r>
    </w:p>
    <w:p w14:paraId="0CDD44D4" w14:textId="77777777" w:rsidR="00AA5A25" w:rsidRDefault="00AA5A25" w:rsidP="00AA5A25">
      <w:pPr>
        <w:pStyle w:val="Heading4"/>
      </w:pPr>
      <w:bookmarkStart w:id="36" w:name="customer-interaction-tools"/>
      <w:r>
        <w:t>1.5.1.1 Customer Interaction Tools</w:t>
      </w:r>
    </w:p>
    <w:p w14:paraId="1FA61E8F" w14:textId="77777777" w:rsidR="00AA5A25" w:rsidRDefault="00AA5A25" w:rsidP="00AA5A25">
      <w:pPr>
        <w:pStyle w:val="FirstParagraph"/>
      </w:pPr>
      <w:r>
        <w:t>Customer interaction tools manage communications with customers through chat, voice, and email. They are especially useful for businesses with high customer service volumes or 24/7 support needs. Examples include chatbots, which handle FAQs and order status inquiries; voice assistants, which support phone-based customer service and voice ordering; and email AI, which assists with routing and drafting responses. These tools range from low to medium implementation complexity. Case Example: H&amp;M’s AI assistant handles 67% of customer inquiries automatically while maintaining high customer satisfaction, allowing human agents to focus on more complex issues.</w:t>
      </w:r>
    </w:p>
    <w:p w14:paraId="42EF1300" w14:textId="77777777" w:rsidR="00AA5A25" w:rsidRDefault="00AA5A25" w:rsidP="00AA5A25">
      <w:pPr>
        <w:pStyle w:val="Heading4"/>
      </w:pPr>
      <w:bookmarkStart w:id="37" w:name="document-and-data-processing-tools"/>
      <w:bookmarkEnd w:id="36"/>
      <w:r>
        <w:t>1.5.1.2 Document and Data Processing Tools</w:t>
      </w:r>
    </w:p>
    <w:p w14:paraId="68B8CE49" w14:textId="77777777" w:rsidR="00AA5A25" w:rsidRDefault="00AA5A25" w:rsidP="00AA5A25">
      <w:pPr>
        <w:pStyle w:val="FirstParagraph"/>
      </w:pPr>
      <w:r>
        <w:t>Document and data processing tools read, understand, and extract information from business documents, making them ideal for organizations that process large volumes of invoices, contracts, or forms. Common tools include Document AI for invoice processing and contract analysis, data entry automation for form digitization and data extraction, and intelligent OCR for handling handwritten text or poor-quality scans. Implementation complexity ranges from low to medium. Case Example: Insurance companies use these tools to process claims in hours rather than days by automatically reading documents, assessing damages from photos, and verifying coverage.</w:t>
      </w:r>
    </w:p>
    <w:p w14:paraId="14CEC29B" w14:textId="77777777" w:rsidR="00AA5A25" w:rsidRDefault="00AA5A25" w:rsidP="00AA5A25">
      <w:pPr>
        <w:pStyle w:val="Heading4"/>
      </w:pPr>
      <w:bookmarkStart w:id="38" w:name="analytics-and-prediction-tools"/>
      <w:bookmarkEnd w:id="37"/>
      <w:r>
        <w:t>1.5.1.3 Analytics and Prediction Tools</w:t>
      </w:r>
    </w:p>
    <w:p w14:paraId="5B0C5FFE" w14:textId="77777777" w:rsidR="00AA5A25" w:rsidRDefault="00AA5A25" w:rsidP="00AA5A25">
      <w:pPr>
        <w:pStyle w:val="FirstParagraph"/>
      </w:pPr>
      <w:r>
        <w:t>Analytics and prediction tools examine data patterns to forecast trends, optimize performance, and guide strategic decisions. Key tools include predictive analytics platforms for demand forecasting and risk assessment, business intelligence software for automated insights and trend detection, and recommendation engines for personalized product or content suggestions. Implementation complexity varies from medium to high. Case Example: Netflix leverages predictive analytics to decide which shows to produce and how to market them, resulting in successful series such as Stranger Things.</w:t>
      </w:r>
    </w:p>
    <w:p w14:paraId="04CB6925" w14:textId="77777777" w:rsidR="00AA5A25" w:rsidRDefault="00AA5A25" w:rsidP="00AA5A25">
      <w:pPr>
        <w:pStyle w:val="Heading4"/>
      </w:pPr>
      <w:bookmarkStart w:id="39" w:name="process-automation-tools"/>
      <w:bookmarkEnd w:id="38"/>
      <w:r>
        <w:t>1.5.1.4 Process Automation Tools</w:t>
      </w:r>
    </w:p>
    <w:p w14:paraId="0A8D6A11" w14:textId="77777777" w:rsidR="00AA5A25" w:rsidRDefault="00AA5A25" w:rsidP="00AA5A25">
      <w:pPr>
        <w:pStyle w:val="FirstParagraph"/>
      </w:pPr>
      <w:r>
        <w:t xml:space="preserve">Process automation tools streamline complex workflows involving multiple systems and decision points. They are best suited for organizations with repetitive, multi-step processes. Tools include AI-enhanced robotic process automation (RPA) for claims processing and account reconciliation, workflow automation platforms for cross-system data flow and approvals, and integration platforms for connecting multiple AI tools. Implementation complexity ranges from medium to high. Case Example: Financial services firms use AI-enhanced RPA to process loan applications, reducing approval times from </w:t>
      </w:r>
      <w:proofErr w:type="gramStart"/>
      <w:r>
        <w:t>days</w:t>
      </w:r>
      <w:proofErr w:type="gramEnd"/>
      <w:r>
        <w:t xml:space="preserve"> to hours while improving accuracy.</w:t>
      </w:r>
    </w:p>
    <w:p w14:paraId="6E2AB570" w14:textId="77777777" w:rsidR="00AA5A25" w:rsidRDefault="00AA5A25" w:rsidP="00AA5A25">
      <w:pPr>
        <w:pStyle w:val="Heading3"/>
      </w:pPr>
      <w:bookmarkStart w:id="40" w:name="_Toc218514431"/>
      <w:bookmarkStart w:id="41" w:name="Xfbc097957a7d052d21c7358ec00b6a90caa26f2"/>
      <w:bookmarkEnd w:id="35"/>
      <w:bookmarkEnd w:id="39"/>
      <w:r>
        <w:t>1.5.2 Choosing the Right Tool: A Decision Framework</w:t>
      </w:r>
      <w:bookmarkEnd w:id="40"/>
    </w:p>
    <w:p w14:paraId="777F6A6B" w14:textId="77777777" w:rsidR="00AA5A25" w:rsidRDefault="00AA5A25" w:rsidP="00AA5A25">
      <w:pPr>
        <w:pStyle w:val="Heading4"/>
      </w:pPr>
      <w:bookmarkStart w:id="42" w:name="start-with-your-business-need"/>
      <w:r>
        <w:t>1.5.2.1 Start with Your Business Need</w:t>
      </w:r>
    </w:p>
    <w:p w14:paraId="6E2277E4" w14:textId="77777777" w:rsidR="00AA5A25" w:rsidRDefault="00AA5A25" w:rsidP="00AA5A25">
      <w:pPr>
        <w:pStyle w:val="FirstParagraph"/>
      </w:pPr>
      <w:r>
        <w:t>Selecting the right AI tool begins by identifying the problem you want to solve. If the goal is to improve customer service, chatbots, voice AI, and email automation are the primary options, with a simple chatbot for common questions being a practical starting point. For faster document processing, tools such as Document AI, OCR, and data extraction are appropriate, beginning with automating invoice processing. Organizations aiming to make better predictions should consider predictive analytics or business intelligence tools, focusing first on sales forecasting or inventory optimization. Finally, when automating complex workflows, robotic process automation (RPA) or workflow automation platforms can be applied, with initial efforts targeting one specific multi-step process.</w:t>
      </w:r>
    </w:p>
    <w:p w14:paraId="3B5E4AC2" w14:textId="77777777" w:rsidR="00AA5A25" w:rsidRDefault="00AA5A25" w:rsidP="00AA5A25">
      <w:pPr>
        <w:pStyle w:val="Heading4"/>
      </w:pPr>
      <w:bookmarkStart w:id="43" w:name="consider-implementation-factors"/>
      <w:bookmarkEnd w:id="42"/>
      <w:r>
        <w:t>1.5.2.2 Consider Implementation Factors</w:t>
      </w:r>
    </w:p>
    <w:p w14:paraId="2B66C1BB" w14:textId="77777777" w:rsidR="00AA5A25" w:rsidRDefault="00AA5A25" w:rsidP="00AA5A25">
      <w:pPr>
        <w:pStyle w:val="FirstParagraph"/>
      </w:pPr>
      <w:r>
        <w:rPr>
          <w:noProof/>
        </w:rPr>
        <w:drawing>
          <wp:inline distT="0" distB="0" distL="0" distR="0" wp14:anchorId="12EE2A6E" wp14:editId="55DE6DD7">
            <wp:extent cx="4800600" cy="2739686"/>
            <wp:effectExtent l="0" t="0" r="0" b="0"/>
            <wp:docPr id="61" name="Picture" descr="A graph of cost comparison - low bar, medium bar, high bar to illustrate cost vs implementation&#10;"/>
            <wp:cNvGraphicFramePr/>
            <a:graphic xmlns:a="http://schemas.openxmlformats.org/drawingml/2006/main">
              <a:graphicData uri="http://schemas.openxmlformats.org/drawingml/2006/picture">
                <pic:pic xmlns:pic="http://schemas.openxmlformats.org/drawingml/2006/picture">
                  <pic:nvPicPr>
                    <pic:cNvPr id="61" name="Picture" descr="A graph of cost comparison - low bar, medium bar, high bar to illustrate cost vs implementation&#10;"/>
                    <pic:cNvPicPr>
                      <a:picLocks noChangeAspect="1" noChangeArrowheads="1"/>
                    </pic:cNvPicPr>
                  </pic:nvPicPr>
                  <pic:blipFill>
                    <a:blip r:embed="rId9"/>
                    <a:stretch>
                      <a:fillRect/>
                    </a:stretch>
                  </pic:blipFill>
                  <pic:spPr bwMode="auto">
                    <a:xfrm>
                      <a:off x="0" y="0"/>
                      <a:ext cx="4800600" cy="2739686"/>
                    </a:xfrm>
                    <a:prstGeom prst="rect">
                      <a:avLst/>
                    </a:prstGeom>
                    <a:noFill/>
                    <a:ln w="9525">
                      <a:noFill/>
                      <a:headEnd/>
                      <a:tailEnd/>
                    </a:ln>
                  </pic:spPr>
                </pic:pic>
              </a:graphicData>
            </a:graphic>
          </wp:inline>
        </w:drawing>
      </w:r>
    </w:p>
    <w:p w14:paraId="2022E0D4" w14:textId="77777777" w:rsidR="00AA5A25" w:rsidRDefault="00AA5A25" w:rsidP="00AA5A25">
      <w:pPr>
        <w:pStyle w:val="BodyText"/>
      </w:pPr>
      <w:r>
        <w:t>Budget, technical expertise, and time to value are critical in selecting a tool. Low-cost options, including chatbots and basic workflow automation, typically range from $50 to $500 per month. Medium-cost solutions, such as document processing and business intelligence tools, generally fall between $500 and $5,000 per month. High-cost implementations, including custom predictive analytics or enterprise-scale RPA, often exceed $5,000 per month. Technical requirements vary pre-built chatbots and simple workflow tools require minimal expertise, document processing and BI systems demand moderate skill, and custom AI models or complex RPA implementations require significant technical knowledge. Time to value also differs. Quick wins, achievable in one to three months, include chatbots and document processing. Medium-term projects, taking three to six months, include predictive analytics and advanced workflow automation, while long-term initiatives exceeding six months involve enterprise-wide automation and fully customized AI solutions.</w:t>
      </w:r>
    </w:p>
    <w:p w14:paraId="7517D9D6" w14:textId="77777777" w:rsidR="00AA5A25" w:rsidRDefault="00AA5A25" w:rsidP="00AA5A25">
      <w:pPr>
        <w:pStyle w:val="BodyText"/>
      </w:pPr>
      <w:r>
        <w:t>By assessing business need alongside budget, technical capability, and expected time to value, organizations can make informed decisions, start small, and scale AI implementations effectively.</w:t>
      </w:r>
    </w:p>
    <w:p w14:paraId="2F0CE91E" w14:textId="77777777" w:rsidR="00AA5A25" w:rsidRDefault="00AA5A25" w:rsidP="00AA5A25">
      <w:pPr>
        <w:pStyle w:val="Heading3"/>
      </w:pPr>
      <w:bookmarkStart w:id="44" w:name="_Toc218514432"/>
      <w:bookmarkStart w:id="45" w:name="understanding-tool-limitations-and-risks"/>
      <w:bookmarkEnd w:id="41"/>
      <w:bookmarkEnd w:id="43"/>
      <w:r>
        <w:t>1.5.3 Understanding Tool Limitations and Risks</w:t>
      </w:r>
      <w:bookmarkEnd w:id="44"/>
    </w:p>
    <w:p w14:paraId="1D57FFD7" w14:textId="77777777" w:rsidR="00AA5A25" w:rsidRDefault="00AA5A25" w:rsidP="00AA5A25">
      <w:pPr>
        <w:pStyle w:val="FirstParagraph"/>
      </w:pPr>
      <w:r>
        <w:t>Even the best AI tools have limitations that organizations must understand before implementation. From a technical perspective, AI requires clean, well-organized data to function effectively, can struggle with edge cases or unusual situations, demands ongoing maintenance and updates, and may be difficult to integrate with legacy systems. Business implementation also carries risks, including over-automation that reduces human oversight, employee resistance to new technologies, vendor lock-in with proprietary platforms, and hidden costs associated with training, maintenance, and upgrades. Performance expectations should be realistic: AI tools typically achieve 80 to 95 percent accuracy rather than perfection, and initial performance may be lower until the system has learned from sufficient data. Ultimately, success depends heavily on data quality and quantity, as well as continuous monitoring and adjustment to ensure the tools deliver reliable and actionable results.</w:t>
      </w:r>
    </w:p>
    <w:p w14:paraId="53FE89B6" w14:textId="77777777" w:rsidR="00AA5A25" w:rsidRDefault="00AA5A25" w:rsidP="00AA5A25">
      <w:pPr>
        <w:pStyle w:val="Heading3"/>
      </w:pPr>
      <w:bookmarkStart w:id="46" w:name="_Toc218514433"/>
      <w:bookmarkStart w:id="47" w:name="getting-started-a-practical-roadmap-1"/>
      <w:bookmarkEnd w:id="45"/>
      <w:r>
        <w:t>1.5.4 Getting Started: A Practical Roadmap</w:t>
      </w:r>
      <w:bookmarkEnd w:id="46"/>
    </w:p>
    <w:p w14:paraId="66F5E434" w14:textId="77777777" w:rsidR="00AA5A25" w:rsidRDefault="00AA5A25" w:rsidP="00AA5A25">
      <w:pPr>
        <w:pStyle w:val="FirstParagraph"/>
      </w:pPr>
      <w:r>
        <w:t>Phase 1: Foundation (Months 1–3) focuses on selecting a high-impact, low-complexity AI tool and starting with a pilot project in a non-critical area. The goal is to build internal capability, learn from the experience, and measure results while gathering user feedback.</w:t>
      </w:r>
    </w:p>
    <w:p w14:paraId="02409DF9" w14:textId="77777777" w:rsidR="00AA5A25" w:rsidRDefault="00AA5A25" w:rsidP="00AA5A25">
      <w:pPr>
        <w:pStyle w:val="BodyText"/>
      </w:pPr>
      <w:r>
        <w:t>Phase 2: Expansion (Months 4–9) involves scaling successful pilots to broader use, adding complementary tools that integrate smoothly, developing internal expertise and best practices, and beginning to address more complex automation opportunities.</w:t>
      </w:r>
    </w:p>
    <w:p w14:paraId="03F90F56" w14:textId="77777777" w:rsidR="00AA5A25" w:rsidRDefault="00AA5A25" w:rsidP="00AA5A25">
      <w:pPr>
        <w:pStyle w:val="BodyText"/>
      </w:pPr>
      <w:r>
        <w:t>Phase 3: Optimization (Months 10+) emphasizes integrating multiple AI tools into comprehensive workflows, leveraging advanced analytics to optimize performance, exploring custom solutions for unique business needs, and sharing learnings to expand automation across other areas of the business.</w:t>
      </w:r>
    </w:p>
    <w:p w14:paraId="04CDFA5D" w14:textId="77777777" w:rsidR="00AA5A25" w:rsidRDefault="00AA5A25" w:rsidP="00AA5A25">
      <w:pPr>
        <w:pStyle w:val="Heading2"/>
      </w:pPr>
      <w:bookmarkStart w:id="48" w:name="_Toc218514434"/>
      <w:bookmarkStart w:id="49" w:name="conclusion"/>
      <w:bookmarkEnd w:id="33"/>
      <w:bookmarkEnd w:id="47"/>
      <w:r>
        <w:t>1.6 Conclusion</w:t>
      </w:r>
      <w:bookmarkEnd w:id="48"/>
    </w:p>
    <w:p w14:paraId="6D0A7B05" w14:textId="77777777" w:rsidR="00AA5A25" w:rsidRDefault="00AA5A25" w:rsidP="00AA5A25">
      <w:pPr>
        <w:pStyle w:val="FirstParagraph"/>
      </w:pPr>
      <w:r>
        <w:t>This chapter introduced the foundations of AI-driven business automation, highlighting the differences between traditional and AI approaches. Traditional automation relies on fixed rules and excels at predictable tasks, while AI automation can learn, adapt, and manage complex, unstructured situations. Both approaches have value, and choosing between them depends on business needs, risk tolerance, and available resources.</w:t>
      </w:r>
    </w:p>
    <w:p w14:paraId="461E5712" w14:textId="77777777" w:rsidR="00AA5A25" w:rsidRDefault="00AA5A25" w:rsidP="00AA5A25">
      <w:pPr>
        <w:pStyle w:val="BodyText"/>
      </w:pPr>
      <w:r>
        <w:t>Not all processes are equally suited for AI. The Process Suitability Framework identifies the best candidates: those with rich data, complex decision-making, and significant business impact. High-suitability processes include customer service, financial processing, and supply chain management, whereas strategic planning and creative work remain primarily human-driven.</w:t>
      </w:r>
    </w:p>
    <w:p w14:paraId="14FF21D6" w14:textId="77777777" w:rsidR="00AA5A25" w:rsidRDefault="00AA5A25" w:rsidP="00AA5A25">
      <w:pPr>
        <w:pStyle w:val="BodyText"/>
      </w:pPr>
      <w:r>
        <w:t>Successful implementation requires a strategic approach. Start small with high-impact, low-complexity processes to gain experience and demonstrate value. Focus on areas where AI’s unique capabilities—learning, adaptation, and pattern recognition—provide clear advantages. Selecting the right tools involves aligning them with specific business functions, integration requirements, costs, and implementation complexity, while remembering that tools alone do not guarantee success.</w:t>
      </w:r>
    </w:p>
    <w:p w14:paraId="1AC1CF7C" w14:textId="77777777" w:rsidR="00AA5A25" w:rsidRDefault="00AA5A25" w:rsidP="00AA5A25">
      <w:pPr>
        <w:pStyle w:val="BodyText"/>
      </w:pPr>
      <w:r>
        <w:t>AI automation offers significant benefits, including efficiency improvements, enhanced accuracy, 24/7 availability, the ability to manage complex decisions, and continuous learning. However, it also has limitations: it requires high-quality data and ongoing maintenance, can be costly, may struggle with edge cases, poses ethical risks, and can reduce human oversight if overused.</w:t>
      </w:r>
    </w:p>
    <w:p w14:paraId="18417921" w14:textId="77777777" w:rsidR="00AA5A25" w:rsidRDefault="00AA5A25" w:rsidP="00AA5A25">
      <w:pPr>
        <w:pStyle w:val="BodyText"/>
      </w:pPr>
      <w:r>
        <w:t>Looking ahead, AI is best understood as augmenting human intelligence rather than replacing it. Professionals should complement AI with skills in critical thinking, ethical reasoning, human-centered design, and clear communication. For businesses, thoughtful and gradual implementation of AI automation can deliver competitive advantages, improve efficiency, and enhance human capabilities, while maintaining ethical and strategic oversight.</w:t>
      </w:r>
    </w:p>
    <w:bookmarkEnd w:id="49"/>
    <w:p w14:paraId="22D0997E" w14:textId="77777777" w:rsidR="00AA5A25" w:rsidRDefault="00AA5A25" w:rsidP="00AA5A25">
      <w:pPr>
        <w:rPr>
          <w:rFonts w:asciiTheme="majorHAnsi" w:eastAsiaTheme="majorEastAsia" w:hAnsiTheme="majorHAnsi" w:cstheme="majorBidi"/>
          <w:color w:val="0F4761" w:themeColor="accent1" w:themeShade="BF"/>
          <w:sz w:val="40"/>
          <w:szCs w:val="40"/>
        </w:rPr>
      </w:pPr>
      <w:r>
        <w:br w:type="page"/>
      </w:r>
    </w:p>
    <w:p w14:paraId="5E69BE47" w14:textId="77777777" w:rsidR="00B11C5D" w:rsidRDefault="00B11C5D"/>
    <w:sectPr w:rsidR="00B11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A25"/>
    <w:rsid w:val="002A076D"/>
    <w:rsid w:val="006B0CF0"/>
    <w:rsid w:val="00732953"/>
    <w:rsid w:val="00952C14"/>
    <w:rsid w:val="00A00DB7"/>
    <w:rsid w:val="00AA5A25"/>
    <w:rsid w:val="00B11C5D"/>
    <w:rsid w:val="00C276D3"/>
    <w:rsid w:val="00D63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7C4C0"/>
  <w15:chartTrackingRefBased/>
  <w15:docId w15:val="{A0F85F6D-A525-42DE-914B-DCC5DDB21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A25"/>
    <w:pPr>
      <w:spacing w:after="200" w:line="240" w:lineRule="auto"/>
    </w:pPr>
    <w:rPr>
      <w:kern w:val="0"/>
      <w14:ligatures w14:val="none"/>
    </w:rPr>
  </w:style>
  <w:style w:type="paragraph" w:styleId="Heading1">
    <w:name w:val="heading 1"/>
    <w:basedOn w:val="Normal"/>
    <w:next w:val="Normal"/>
    <w:link w:val="Heading1Char"/>
    <w:uiPriority w:val="9"/>
    <w:qFormat/>
    <w:rsid w:val="00AA5A2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5A2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5A2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5A25"/>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A5A25"/>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A5A25"/>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A5A25"/>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A5A25"/>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A5A25"/>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A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5A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5A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5A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5A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5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5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5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5A25"/>
    <w:rPr>
      <w:rFonts w:eastAsiaTheme="majorEastAsia" w:cstheme="majorBidi"/>
      <w:color w:val="272727" w:themeColor="text1" w:themeTint="D8"/>
    </w:rPr>
  </w:style>
  <w:style w:type="paragraph" w:styleId="Title">
    <w:name w:val="Title"/>
    <w:basedOn w:val="Normal"/>
    <w:next w:val="Normal"/>
    <w:link w:val="TitleChar"/>
    <w:uiPriority w:val="10"/>
    <w:qFormat/>
    <w:rsid w:val="00AA5A2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A5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5A25"/>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A5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5A25"/>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A5A25"/>
    <w:rPr>
      <w:i/>
      <w:iCs/>
      <w:color w:val="404040" w:themeColor="text1" w:themeTint="BF"/>
    </w:rPr>
  </w:style>
  <w:style w:type="paragraph" w:styleId="ListParagraph">
    <w:name w:val="List Paragraph"/>
    <w:basedOn w:val="Normal"/>
    <w:uiPriority w:val="34"/>
    <w:qFormat/>
    <w:rsid w:val="00AA5A25"/>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AA5A25"/>
    <w:rPr>
      <w:i/>
      <w:iCs/>
      <w:color w:val="0F4761" w:themeColor="accent1" w:themeShade="BF"/>
    </w:rPr>
  </w:style>
  <w:style w:type="paragraph" w:styleId="IntenseQuote">
    <w:name w:val="Intense Quote"/>
    <w:basedOn w:val="Normal"/>
    <w:next w:val="Normal"/>
    <w:link w:val="IntenseQuoteChar"/>
    <w:uiPriority w:val="30"/>
    <w:qFormat/>
    <w:rsid w:val="00AA5A2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A5A25"/>
    <w:rPr>
      <w:i/>
      <w:iCs/>
      <w:color w:val="0F4761" w:themeColor="accent1" w:themeShade="BF"/>
    </w:rPr>
  </w:style>
  <w:style w:type="character" w:styleId="IntenseReference">
    <w:name w:val="Intense Reference"/>
    <w:basedOn w:val="DefaultParagraphFont"/>
    <w:uiPriority w:val="32"/>
    <w:qFormat/>
    <w:rsid w:val="00AA5A25"/>
    <w:rPr>
      <w:b/>
      <w:bCs/>
      <w:smallCaps/>
      <w:color w:val="0F4761" w:themeColor="accent1" w:themeShade="BF"/>
      <w:spacing w:val="5"/>
    </w:rPr>
  </w:style>
  <w:style w:type="paragraph" w:styleId="BodyText">
    <w:name w:val="Body Text"/>
    <w:basedOn w:val="Normal"/>
    <w:link w:val="BodyTextChar"/>
    <w:qFormat/>
    <w:rsid w:val="00AA5A25"/>
    <w:pPr>
      <w:spacing w:before="180" w:after="180"/>
    </w:pPr>
  </w:style>
  <w:style w:type="character" w:customStyle="1" w:styleId="BodyTextChar">
    <w:name w:val="Body Text Char"/>
    <w:basedOn w:val="DefaultParagraphFont"/>
    <w:link w:val="BodyText"/>
    <w:rsid w:val="00AA5A25"/>
    <w:rPr>
      <w:kern w:val="0"/>
      <w14:ligatures w14:val="none"/>
    </w:rPr>
  </w:style>
  <w:style w:type="paragraph" w:customStyle="1" w:styleId="FirstParagraph">
    <w:name w:val="First Paragraph"/>
    <w:basedOn w:val="BodyText"/>
    <w:next w:val="BodyText"/>
    <w:qFormat/>
    <w:rsid w:val="00AA5A25"/>
  </w:style>
  <w:style w:type="paragraph" w:customStyle="1" w:styleId="Compact">
    <w:name w:val="Compact"/>
    <w:basedOn w:val="BodyText"/>
    <w:qFormat/>
    <w:rsid w:val="00AA5A25"/>
    <w:pPr>
      <w:spacing w:before="36" w:after="36"/>
    </w:pPr>
  </w:style>
  <w:style w:type="table" w:customStyle="1" w:styleId="Table">
    <w:name w:val="Table"/>
    <w:semiHidden/>
    <w:unhideWhenUsed/>
    <w:qFormat/>
    <w:rsid w:val="00AA5A25"/>
    <w:pPr>
      <w:spacing w:after="200" w:line="240" w:lineRule="auto"/>
    </w:pPr>
    <w:rPr>
      <w:kern w:val="0"/>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ImageCaption">
    <w:name w:val="Image Caption"/>
    <w:basedOn w:val="Caption"/>
    <w:rsid w:val="00AA5A25"/>
    <w:pPr>
      <w:spacing w:after="120"/>
    </w:pPr>
    <w:rPr>
      <w:iCs w:val="0"/>
      <w:color w:val="auto"/>
      <w:sz w:val="24"/>
      <w:szCs w:val="24"/>
    </w:rPr>
  </w:style>
  <w:style w:type="character" w:styleId="Hyperlink">
    <w:name w:val="Hyperlink"/>
    <w:basedOn w:val="DefaultParagraphFont"/>
    <w:uiPriority w:val="99"/>
    <w:rsid w:val="00AA5A25"/>
    <w:rPr>
      <w:color w:val="156082" w:themeColor="accent1"/>
    </w:rPr>
  </w:style>
  <w:style w:type="paragraph" w:styleId="Caption">
    <w:name w:val="caption"/>
    <w:basedOn w:val="Normal"/>
    <w:next w:val="Normal"/>
    <w:uiPriority w:val="35"/>
    <w:semiHidden/>
    <w:unhideWhenUsed/>
    <w:qFormat/>
    <w:rsid w:val="00AA5A25"/>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3287</Words>
  <Characters>20900</Characters>
  <Application>Microsoft Office Word</Application>
  <DocSecurity>0</DocSecurity>
  <Lines>333</Lines>
  <Paragraphs>87</Paragraphs>
  <ScaleCrop>false</ScaleCrop>
  <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2026-02-21T00:22:00Z</dcterms:created>
  <dcterms:modified xsi:type="dcterms:W3CDTF">2026-02-21T00:23:00Z</dcterms:modified>
</cp:coreProperties>
</file>